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6C5BAF" w14:paraId="4B1BBCE2" w14:textId="77777777">
        <w:trPr>
          <w:trHeight w:val="567"/>
        </w:trPr>
        <w:tc>
          <w:tcPr>
            <w:tcW w:w="9210" w:type="dxa"/>
            <w:vAlign w:val="center"/>
          </w:tcPr>
          <w:p w14:paraId="582CD607" w14:textId="77777777" w:rsidR="006C5BAF" w:rsidRDefault="00EA3C68">
            <w:pPr>
              <w:pStyle w:val="Titel"/>
              <w:spacing w:after="120"/>
            </w:pPr>
            <w:r>
              <w:t>Adsorbierbare organisch gebundene Halogene (AOX) in Wässern</w:t>
            </w:r>
          </w:p>
        </w:tc>
      </w:tr>
    </w:tbl>
    <w:p w14:paraId="022A0AFD" w14:textId="77777777" w:rsidR="006C5BAF" w:rsidRDefault="006C5BAF">
      <w:pPr>
        <w:spacing w:before="0"/>
      </w:pPr>
    </w:p>
    <w:p w14:paraId="21F43A11" w14:textId="77777777" w:rsidR="006C5BAF" w:rsidRDefault="00EA3C68">
      <w:pPr>
        <w:pStyle w:val="berschrift1"/>
        <w:ind w:left="567" w:hanging="567"/>
      </w:pPr>
      <w:r>
        <w:t>Arbeitsgrundlagen</w:t>
      </w:r>
    </w:p>
    <w:p w14:paraId="316473D3" w14:textId="77777777" w:rsidR="006C5BAF" w:rsidRDefault="00EA3C68">
      <w:pPr>
        <w:keepNext/>
        <w:numPr>
          <w:ilvl w:val="0"/>
          <w:numId w:val="2"/>
        </w:numPr>
        <w:tabs>
          <w:tab w:val="left" w:pos="-1258"/>
          <w:tab w:val="left" w:pos="-720"/>
        </w:tabs>
        <w:ind w:left="851" w:hanging="284"/>
      </w:pPr>
      <w:r>
        <w:t xml:space="preserve">DIN EN ISO 9562 (H 14); Wasserbeschaffenheit </w:t>
      </w:r>
      <w:r>
        <w:sym w:font="Symbol" w:char="F02D"/>
      </w:r>
      <w:r>
        <w:t xml:space="preserve"> Bestimmung adsorbierbarer organisch gebundener Halogene (AOX), 2005-02</w:t>
      </w:r>
    </w:p>
    <w:p w14:paraId="75BC215E" w14:textId="77777777" w:rsidR="006C5BAF" w:rsidRDefault="00EA3C68">
      <w:pPr>
        <w:keepNext/>
        <w:numPr>
          <w:ilvl w:val="0"/>
          <w:numId w:val="2"/>
        </w:numPr>
        <w:tabs>
          <w:tab w:val="left" w:pos="-1258"/>
          <w:tab w:val="left" w:pos="-720"/>
        </w:tabs>
        <w:ind w:left="851" w:hanging="284"/>
      </w:pPr>
      <w:r>
        <w:t>LAWA-AQS-Merkblätter für die Wasser-, Abwasser- und Schlammuntersuchung.</w:t>
      </w:r>
      <w:r>
        <w:br/>
      </w:r>
      <w:proofErr w:type="gramStart"/>
      <w:r>
        <w:t>Herausgegeben</w:t>
      </w:r>
      <w:proofErr w:type="gramEnd"/>
      <w:r>
        <w:t xml:space="preserve"> von der Bund/Länder-Arbeitsgemeinschaft Wasser (LAWA); </w:t>
      </w:r>
      <w:r>
        <w:br/>
        <w:t xml:space="preserve"> </w:t>
      </w:r>
      <w:hyperlink r:id="rId8" w:history="1">
        <w:r>
          <w:rPr>
            <w:rStyle w:val="Hyperlink"/>
          </w:rPr>
          <w:t>www.lawa.de/Publikationen-363-AQS-Merkblaetter.html</w:t>
        </w:r>
      </w:hyperlink>
    </w:p>
    <w:p w14:paraId="4D590A6F" w14:textId="77777777" w:rsidR="006C5BAF" w:rsidRDefault="006C5BAF">
      <w:pPr>
        <w:pStyle w:val="Listenabsatz"/>
        <w:keepNext/>
        <w:tabs>
          <w:tab w:val="left" w:pos="-1258"/>
          <w:tab w:val="left" w:pos="-720"/>
        </w:tabs>
        <w:ind w:left="0"/>
      </w:pPr>
    </w:p>
    <w:p w14:paraId="6BF224C1" w14:textId="77777777" w:rsidR="006C5BAF" w:rsidRDefault="00EA3C68">
      <w:r>
        <w:t>Weitere Literatur siehe Abschnitt 8.</w:t>
      </w:r>
    </w:p>
    <w:p w14:paraId="4378F78D" w14:textId="77777777" w:rsidR="006C5BAF" w:rsidRDefault="006C5BAF">
      <w:pPr>
        <w:spacing w:before="0"/>
      </w:pPr>
    </w:p>
    <w:p w14:paraId="12BDA462" w14:textId="77777777" w:rsidR="006C5BAF" w:rsidRDefault="006C5BAF">
      <w:pPr>
        <w:spacing w:before="0"/>
      </w:pPr>
    </w:p>
    <w:p w14:paraId="1057F402" w14:textId="77777777" w:rsidR="006C5BAF" w:rsidRDefault="00EA3C68">
      <w:pPr>
        <w:pStyle w:val="berschrift1"/>
        <w:ind w:left="567" w:hanging="567"/>
      </w:pPr>
      <w:r>
        <w:t>Zweck</w:t>
      </w:r>
    </w:p>
    <w:p w14:paraId="1938B13E" w14:textId="1DBE0492" w:rsidR="006C5BAF" w:rsidRDefault="00EA3C68">
      <w:r>
        <w:t>Dieses Merkblatt beinhaltet Ergänzungen zu de</w:t>
      </w:r>
      <w:r w:rsidR="00DF2D25">
        <w:t>r</w:t>
      </w:r>
      <w:r>
        <w:t xml:space="preserve"> Norm DIN EN ISO 9562 (H 14), und gibt zusätzliche Hinweise für die praktische Durchführung. Es legt außerdem verbindliche Maßnahmen zur analytischen Qualitätssicherung (AQS) fest.</w:t>
      </w:r>
    </w:p>
    <w:p w14:paraId="2EF45A10" w14:textId="1DC222E4" w:rsidR="006C5BAF" w:rsidRDefault="00EA3C68">
      <w:r>
        <w:t>Das nachstehende Merkblatt gilt – ebenso wie die o. g. Norm – nur für die Analyse wässriger Proben. Bei Proben mit mehreren voneinander getrennten, flüssigen Phasen darf nur die wässrige Phase untersucht werden. Für die übrigen Phasen müssen andere Bestimmungsverfahren angewandt werden.</w:t>
      </w:r>
    </w:p>
    <w:p w14:paraId="6F2FD6AD" w14:textId="77777777" w:rsidR="006C5BAF" w:rsidRDefault="006C5BAF">
      <w:pPr>
        <w:spacing w:before="0"/>
      </w:pPr>
    </w:p>
    <w:p w14:paraId="194B93E6" w14:textId="77777777" w:rsidR="006C5BAF" w:rsidRDefault="006C5BAF">
      <w:pPr>
        <w:spacing w:before="0"/>
      </w:pPr>
    </w:p>
    <w:p w14:paraId="0375AB83" w14:textId="77777777" w:rsidR="006C5BAF" w:rsidRDefault="00EA3C68">
      <w:pPr>
        <w:pStyle w:val="berschrift1"/>
        <w:ind w:left="567" w:hanging="567"/>
      </w:pPr>
      <w:r>
        <w:rPr>
          <w:bCs/>
        </w:rPr>
        <w:t>Anwendungsbereich des Verfahrens</w:t>
      </w:r>
    </w:p>
    <w:p w14:paraId="5441629B" w14:textId="3BC1541A" w:rsidR="006C5BAF" w:rsidRDefault="00EA3C68">
      <w:pPr>
        <w:tabs>
          <w:tab w:val="left" w:pos="709"/>
        </w:tabs>
      </w:pPr>
      <w:r>
        <w:t xml:space="preserve">Die Grenzen der Anwendbarkeit der Norm DIN EN ISO </w:t>
      </w:r>
      <w:r>
        <w:rPr>
          <w:bCs/>
        </w:rPr>
        <w:t xml:space="preserve">9562 (H 14), </w:t>
      </w:r>
      <w:r>
        <w:t>sind folgendermaßen festgelegt:</w:t>
      </w:r>
    </w:p>
    <w:p w14:paraId="6B70BFFA" w14:textId="77777777" w:rsidR="006C5BAF" w:rsidRDefault="00EA3C68">
      <w:pPr>
        <w:tabs>
          <w:tab w:val="left" w:pos="709"/>
        </w:tabs>
        <w:spacing w:after="120"/>
      </w:pPr>
      <w:r>
        <w:t xml:space="preserve">Bestimmungsgrenze </w:t>
      </w:r>
      <w:r>
        <w:sym w:font="Symbol" w:char="F0A3"/>
      </w:r>
      <w:r>
        <w:t xml:space="preserve"> AOX (Testprobe) </w:t>
      </w:r>
      <w:r>
        <w:sym w:font="Symbol" w:char="F0A3"/>
      </w:r>
      <w:r>
        <w:t xml:space="preserve"> obere Anwendungsbereichsgrenze.</w:t>
      </w:r>
    </w:p>
    <w:p w14:paraId="5F81DAB2" w14:textId="77777777" w:rsidR="006C5BAF" w:rsidRDefault="00EA3C68">
      <w:pPr>
        <w:tabs>
          <w:tab w:val="left" w:pos="709"/>
        </w:tabs>
      </w:pPr>
      <w:r>
        <w:t xml:space="preserve">Die Bestimmungsgrenze kann geschätzt werden als: </w:t>
      </w:r>
    </w:p>
    <w:p w14:paraId="13AFC8B1" w14:textId="77777777" w:rsidR="006C5BAF" w:rsidRDefault="00EA3C68">
      <w:pPr>
        <w:tabs>
          <w:tab w:val="left" w:pos="8505"/>
        </w:tabs>
      </w:pPr>
      <w:r>
        <w:rPr>
          <w:rFonts w:eastAsia="Times New Roman"/>
          <w:position w:val="-10"/>
          <w:szCs w:val="20"/>
        </w:rPr>
        <w:object w:dxaOrig="1260" w:dyaOrig="300" w14:anchorId="3A5EE1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15pt" o:ole="">
            <v:imagedata r:id="rId9" o:title=""/>
          </v:shape>
          <o:OLEObject Type="Embed" ProgID="Equation.3" ShapeID="_x0000_i1025" DrawAspect="Content" ObjectID="_1722759256" r:id="rId10"/>
        </w:object>
      </w:r>
      <w:r>
        <w:tab/>
      </w:r>
      <w:r>
        <w:tab/>
        <w:t>(1)</w:t>
      </w:r>
    </w:p>
    <w:p w14:paraId="59B2E299" w14:textId="77777777" w:rsidR="006C5BAF" w:rsidRDefault="00EA3C68">
      <w:pPr>
        <w:tabs>
          <w:tab w:val="left" w:pos="709"/>
        </w:tabs>
      </w:pPr>
      <w:r>
        <w:t>Dabei ist</w:t>
      </w:r>
    </w:p>
    <w:p w14:paraId="3EABFF8B" w14:textId="77777777" w:rsidR="006C5BAF" w:rsidRDefault="00EA3C68">
      <w:pPr>
        <w:tabs>
          <w:tab w:val="left" w:pos="851"/>
          <w:tab w:val="left" w:pos="1276"/>
        </w:tabs>
        <w:ind w:left="284"/>
      </w:pPr>
      <w:proofErr w:type="spellStart"/>
      <w:r>
        <w:rPr>
          <w:i/>
        </w:rPr>
        <w:t>x</w:t>
      </w:r>
      <w:r>
        <w:rPr>
          <w:vertAlign w:val="subscript"/>
        </w:rPr>
        <w:t>BG</w:t>
      </w:r>
      <w:proofErr w:type="spellEnd"/>
      <w:r>
        <w:tab/>
        <w:t>die Bestimmungsgrenze</w:t>
      </w:r>
    </w:p>
    <w:p w14:paraId="677749EA" w14:textId="77777777" w:rsidR="006C5BAF" w:rsidRDefault="00EA3C68">
      <w:pPr>
        <w:tabs>
          <w:tab w:val="left" w:pos="851"/>
          <w:tab w:val="left" w:pos="1276"/>
        </w:tabs>
        <w:ind w:left="284"/>
      </w:pPr>
      <w:r>
        <w:rPr>
          <w:i/>
        </w:rPr>
        <w:t>k</w:t>
      </w:r>
      <w:r>
        <w:tab/>
        <w:t>der Faktor, der sich aus der relativen Ergebnisunsicherheit 1/</w:t>
      </w:r>
      <w:r>
        <w:rPr>
          <w:i/>
        </w:rPr>
        <w:t>k</w:t>
      </w:r>
      <w:r>
        <w:t xml:space="preserve"> ergibt</w:t>
      </w:r>
    </w:p>
    <w:p w14:paraId="665B8EB7" w14:textId="77777777" w:rsidR="006C5BAF" w:rsidRDefault="00EA3C68">
      <w:pPr>
        <w:tabs>
          <w:tab w:val="left" w:pos="851"/>
          <w:tab w:val="left" w:pos="1276"/>
        </w:tabs>
        <w:ind w:left="284"/>
      </w:pPr>
      <w:proofErr w:type="spellStart"/>
      <w:r>
        <w:rPr>
          <w:i/>
        </w:rPr>
        <w:t>x</w:t>
      </w:r>
      <w:r>
        <w:rPr>
          <w:vertAlign w:val="subscript"/>
        </w:rPr>
        <w:t>NG</w:t>
      </w:r>
      <w:proofErr w:type="spellEnd"/>
      <w:r>
        <w:tab/>
        <w:t>die Nachweisgrenze</w:t>
      </w:r>
    </w:p>
    <w:p w14:paraId="617EF438" w14:textId="77777777" w:rsidR="006C5BAF" w:rsidRDefault="00EA3C68">
      <w:pPr>
        <w:tabs>
          <w:tab w:val="left" w:pos="709"/>
        </w:tabs>
      </w:pPr>
      <w:r>
        <w:t xml:space="preserve">Der in der DIN 32645 [1] empfohlene Faktor </w:t>
      </w:r>
      <w:r>
        <w:rPr>
          <w:i/>
        </w:rPr>
        <w:t>k</w:t>
      </w:r>
      <w:r>
        <w:t xml:space="preserve"> = 3 entspricht einer relativen Ergebnisunsicherheit von ungefähr 33 %.</w:t>
      </w:r>
    </w:p>
    <w:p w14:paraId="5E6BFE34" w14:textId="77777777" w:rsidR="006C5BAF" w:rsidRDefault="00EA3C68">
      <w:pPr>
        <w:tabs>
          <w:tab w:val="left" w:pos="709"/>
        </w:tabs>
      </w:pPr>
      <w:r>
        <w:t xml:space="preserve">Proben, deren Matrixzusammensetzung die Analyse stört, können verdünnt gemessen werden, falls sich die Störung durch eine Verdünnung beseitigen lässt und das Analysenziel dieses Vorgehen ermöglicht. Führt das Messen in Verdünnung zu keinem auswertbaren Messsignal, kann in Absprache mit dem Auftraggeber die zu berichtende Bestimmungsgrenze unter Berücksichtigung der Verdünnung nach Gleichung (2) angegeben werden. </w:t>
      </w:r>
    </w:p>
    <w:p w14:paraId="70040660" w14:textId="77777777" w:rsidR="006C5BAF" w:rsidRDefault="00EA3C68">
      <w:pPr>
        <w:tabs>
          <w:tab w:val="left" w:pos="8505"/>
        </w:tabs>
        <w:rPr>
          <w:i/>
          <w:iCs/>
        </w:rPr>
      </w:pPr>
      <w:proofErr w:type="spellStart"/>
      <w:r>
        <w:rPr>
          <w:i/>
          <w:iCs/>
        </w:rPr>
        <w:t>x</w:t>
      </w:r>
      <w:r>
        <w:rPr>
          <w:vertAlign w:val="subscript"/>
        </w:rPr>
        <w:t>BGV</w:t>
      </w:r>
      <w:proofErr w:type="spellEnd"/>
      <w:r>
        <w:t xml:space="preserve"> </w:t>
      </w:r>
      <w:r>
        <w:rPr>
          <w:rFonts w:eastAsia="SymbolMT"/>
        </w:rPr>
        <w:t xml:space="preserve">= </w:t>
      </w:r>
      <w:proofErr w:type="spellStart"/>
      <w:r>
        <w:rPr>
          <w:i/>
          <w:iCs/>
        </w:rPr>
        <w:t>x</w:t>
      </w:r>
      <w:r>
        <w:rPr>
          <w:vertAlign w:val="subscript"/>
        </w:rPr>
        <w:t>BG</w:t>
      </w:r>
      <w:proofErr w:type="spellEnd"/>
      <w:r>
        <w:rPr>
          <w:i/>
          <w:iCs/>
        </w:rPr>
        <w:t xml:space="preserve"> </w:t>
      </w:r>
      <w:r>
        <w:rPr>
          <w:rFonts w:eastAsia="SymbolMT"/>
        </w:rPr>
        <w:t>* VF</w:t>
      </w:r>
      <w:r>
        <w:rPr>
          <w:rFonts w:eastAsia="SymbolMT"/>
        </w:rPr>
        <w:tab/>
      </w:r>
      <w:r>
        <w:t>(2)</w:t>
      </w:r>
    </w:p>
    <w:p w14:paraId="657589E2" w14:textId="77777777" w:rsidR="006C5BAF" w:rsidRDefault="006C5BAF">
      <w:pPr>
        <w:tabs>
          <w:tab w:val="left" w:pos="709"/>
        </w:tabs>
        <w:ind w:left="284"/>
      </w:pPr>
    </w:p>
    <w:p w14:paraId="69378A6D" w14:textId="77777777" w:rsidR="006C5BAF" w:rsidRDefault="00EA3C68">
      <w:pPr>
        <w:spacing w:before="0" w:after="200" w:line="276" w:lineRule="auto"/>
      </w:pPr>
      <w:r>
        <w:br w:type="page"/>
      </w:r>
    </w:p>
    <w:p w14:paraId="12C663F2" w14:textId="77777777" w:rsidR="006C5BAF" w:rsidRDefault="00EA3C68">
      <w:pPr>
        <w:tabs>
          <w:tab w:val="left" w:pos="709"/>
        </w:tabs>
      </w:pPr>
      <w:r>
        <w:lastRenderedPageBreak/>
        <w:t>Dabei ist</w:t>
      </w:r>
    </w:p>
    <w:p w14:paraId="5FF5076A" w14:textId="77777777" w:rsidR="006C5BAF" w:rsidRDefault="00EA3C68">
      <w:pPr>
        <w:tabs>
          <w:tab w:val="left" w:pos="851"/>
        </w:tabs>
        <w:ind w:left="851" w:hanging="567"/>
        <w:rPr>
          <w:i/>
          <w:iCs/>
        </w:rPr>
      </w:pPr>
      <w:proofErr w:type="spellStart"/>
      <w:r>
        <w:rPr>
          <w:i/>
          <w:iCs/>
        </w:rPr>
        <w:t>x</w:t>
      </w:r>
      <w:r>
        <w:rPr>
          <w:vertAlign w:val="subscript"/>
        </w:rPr>
        <w:t>BGV</w:t>
      </w:r>
      <w:proofErr w:type="spellEnd"/>
      <w:r>
        <w:tab/>
        <w:t xml:space="preserve">der unter Berücksichtigung des Probenverdünnungsfaktors an den Auftraggeber berichtete Konzentrationswert der Bestimmungsgrenze </w:t>
      </w:r>
    </w:p>
    <w:p w14:paraId="562A58CE" w14:textId="77777777" w:rsidR="006C5BAF" w:rsidRDefault="00EA3C68">
      <w:pPr>
        <w:tabs>
          <w:tab w:val="left" w:pos="851"/>
          <w:tab w:val="left" w:pos="1276"/>
        </w:tabs>
        <w:ind w:left="284"/>
      </w:pPr>
      <w:r>
        <w:t>VF</w:t>
      </w:r>
      <w:r>
        <w:tab/>
        <w:t>der sich aus der gewählten Verdünnung ergebende Verdünnungsfaktor</w:t>
      </w:r>
    </w:p>
    <w:p w14:paraId="319DB4DF" w14:textId="02C44A08" w:rsidR="006C5BAF" w:rsidRDefault="00EA3C68">
      <w:pPr>
        <w:tabs>
          <w:tab w:val="left" w:pos="709"/>
        </w:tabs>
        <w:spacing w:before="240"/>
        <w:ind w:left="1559" w:hanging="1559"/>
        <w:rPr>
          <w:i/>
        </w:rPr>
      </w:pPr>
      <w:r>
        <w:rPr>
          <w:b/>
        </w:rPr>
        <w:t>Anmerkung 1:</w:t>
      </w:r>
      <w:r>
        <w:rPr>
          <w:b/>
        </w:rPr>
        <w:tab/>
      </w:r>
      <w:r>
        <w:rPr>
          <w:i/>
        </w:rPr>
        <w:t xml:space="preserve">Die Unterschreitung eines Vorgabewertes (z. B. </w:t>
      </w:r>
      <w:proofErr w:type="spellStart"/>
      <w:r>
        <w:rPr>
          <w:i/>
        </w:rPr>
        <w:t>Bescheidwert</w:t>
      </w:r>
      <w:proofErr w:type="spellEnd"/>
      <w:r>
        <w:rPr>
          <w:i/>
        </w:rPr>
        <w:t>, Überwachungswert, Kundenvorgabe) ist dann sicher nachgewiesen, wenn die aus der Verdünnung resultierende Bestimmungsgrenze kleiner als der halbe Vorgabewert ist.</w:t>
      </w:r>
    </w:p>
    <w:p w14:paraId="0A30A748" w14:textId="77777777" w:rsidR="006C5BAF" w:rsidRDefault="006C5BAF">
      <w:pPr>
        <w:tabs>
          <w:tab w:val="left" w:pos="709"/>
        </w:tabs>
        <w:spacing w:before="0"/>
        <w:ind w:left="1418" w:hanging="1418"/>
      </w:pPr>
    </w:p>
    <w:p w14:paraId="078E2796" w14:textId="77777777" w:rsidR="006C5BAF" w:rsidRDefault="00EA3C68">
      <w:r>
        <w:t>Die Testprobe – das ist die für den Adsorptionsvorgang vorbereitete (z. B. verdünnte) Probe – muss demnach einen AOX im Messbereich des Gerätesystems (Bereich: Bestimmungsgrenze bis zur oberen Grenze des Messsystems, in der Regel 300 µg/l) enthalten.</w:t>
      </w:r>
    </w:p>
    <w:p w14:paraId="73916255" w14:textId="77777777" w:rsidR="006C5BAF" w:rsidRDefault="00EA3C68">
      <w:r>
        <w:t>Partikelhaltige Testproben, die nach DIN EN ISO 9562 (H 14) (Anhang A, SPE-AOX) zu bestimmen sind, sind zu filtrieren.</w:t>
      </w:r>
    </w:p>
    <w:p w14:paraId="2B76439A" w14:textId="77777777" w:rsidR="006C5BAF" w:rsidRDefault="00EA3C68">
      <w:r>
        <w:t>Eine Bestimmung des ausblasbaren AOX-Anteils findet nicht statt.</w:t>
      </w:r>
    </w:p>
    <w:p w14:paraId="730C33FF" w14:textId="77777777" w:rsidR="006C5BAF" w:rsidRDefault="006C5BAF">
      <w:pPr>
        <w:spacing w:before="0"/>
        <w:ind w:left="567" w:hanging="567"/>
        <w:outlineLvl w:val="1"/>
        <w:rPr>
          <w:rFonts w:cs="Arial"/>
        </w:rPr>
      </w:pPr>
    </w:p>
    <w:p w14:paraId="3633C1A9" w14:textId="77777777" w:rsidR="006C5BAF" w:rsidRDefault="006C5BAF">
      <w:pPr>
        <w:spacing w:before="0"/>
      </w:pPr>
    </w:p>
    <w:p w14:paraId="7A994C54" w14:textId="77777777" w:rsidR="006C5BAF" w:rsidRDefault="00EA3C68">
      <w:pPr>
        <w:pStyle w:val="berschrift1"/>
        <w:ind w:left="567" w:hanging="567"/>
      </w:pPr>
      <w:r>
        <w:t>Probenahme und Probenvorbehandlung</w:t>
      </w:r>
    </w:p>
    <w:p w14:paraId="66122DD8" w14:textId="77777777" w:rsidR="006C5BAF" w:rsidRDefault="00EA3C68">
      <w:r>
        <w:t xml:space="preserve">Es sind saubere, halogenkohlenwasserstofffreie </w:t>
      </w:r>
      <w:proofErr w:type="spellStart"/>
      <w:r>
        <w:t>Probenahmegerätschaften</w:t>
      </w:r>
      <w:proofErr w:type="spellEnd"/>
      <w:r>
        <w:t xml:space="preserve"> und Probenflaschen zu verwenden.</w:t>
      </w:r>
    </w:p>
    <w:p w14:paraId="6275B712" w14:textId="77777777" w:rsidR="006C5BAF" w:rsidRDefault="00EA3C68">
      <w:r>
        <w:t>Falls die Probe nicht eingefroren werden muss, sind Glasflaschen zur Probenaufbewahrung zu verwenden.</w:t>
      </w:r>
    </w:p>
    <w:p w14:paraId="58FD1431" w14:textId="77777777" w:rsidR="006C5BAF" w:rsidRDefault="00EA3C68">
      <w:pPr>
        <w:spacing w:before="240"/>
        <w:ind w:left="1560" w:hanging="1560"/>
        <w:rPr>
          <w:rFonts w:cs="Arial"/>
          <w:i/>
        </w:rPr>
      </w:pPr>
      <w:r>
        <w:rPr>
          <w:rFonts w:cs="Arial"/>
          <w:b/>
        </w:rPr>
        <w:t>Anmerkung 2</w:t>
      </w:r>
      <w:r>
        <w:rPr>
          <w:rFonts w:cs="Arial"/>
          <w:b/>
          <w:i/>
        </w:rPr>
        <w:t>:</w:t>
      </w:r>
      <w:r>
        <w:rPr>
          <w:rFonts w:cs="Arial"/>
          <w:i/>
        </w:rPr>
        <w:tab/>
      </w:r>
      <w:r>
        <w:rPr>
          <w:i/>
        </w:rPr>
        <w:t xml:space="preserve">Die Glasflaschenreinigung mit HKW-freien Reinigungs-/Lösungsmitteln ist ausreichend. Falls gleichzeitig auch die LHKW-Einzelkomponenten bestimmt werden sollen, ist die Probenahme sowie die Flaschenreinigung nach den Vorschriften der DIN EN ISO 10301 (F 4) </w:t>
      </w:r>
      <w:r>
        <w:t>[2]</w:t>
      </w:r>
      <w:r>
        <w:rPr>
          <w:i/>
        </w:rPr>
        <w:t xml:space="preserve"> vorzunehmen</w:t>
      </w:r>
      <w:r>
        <w:rPr>
          <w:rFonts w:cs="Arial"/>
          <w:i/>
        </w:rPr>
        <w:t>.</w:t>
      </w:r>
    </w:p>
    <w:p w14:paraId="7FFC6FCB" w14:textId="77777777" w:rsidR="006C5BAF" w:rsidRDefault="006C5BAF">
      <w:pPr>
        <w:spacing w:before="0"/>
        <w:rPr>
          <w:rFonts w:cs="Arial"/>
        </w:rPr>
      </w:pPr>
    </w:p>
    <w:p w14:paraId="1259B057" w14:textId="77777777" w:rsidR="006C5BAF" w:rsidRDefault="00EA3C68">
      <w:pPr>
        <w:rPr>
          <w:rFonts w:cs="Arial"/>
        </w:rPr>
      </w:pPr>
      <w:r>
        <w:rPr>
          <w:rFonts w:cs="Arial"/>
        </w:rPr>
        <w:t>Die Reihenfolge der in Abschnitt 8 der Norm DIN EN ISO 9562 (H 14) beschriebenen Arbeitsschritte ist strikt einzuhalten. Dabei ist auf Vollständigkeit der Beseitigung des aktiven Chlors vor der HNO</w:t>
      </w:r>
      <w:r>
        <w:rPr>
          <w:rFonts w:cs="Arial"/>
          <w:vertAlign w:val="subscript"/>
        </w:rPr>
        <w:t>3</w:t>
      </w:r>
      <w:r>
        <w:rPr>
          <w:rFonts w:cs="Arial"/>
        </w:rPr>
        <w:t>-Zugabe zu prüfen (z. B. mit Iod-Stärke- oder Na</w:t>
      </w:r>
      <w:r>
        <w:rPr>
          <w:rFonts w:cs="Arial"/>
          <w:vertAlign w:val="subscript"/>
        </w:rPr>
        <w:t>2</w:t>
      </w:r>
      <w:r>
        <w:rPr>
          <w:rFonts w:cs="Arial"/>
        </w:rPr>
        <w:t>SO</w:t>
      </w:r>
      <w:r>
        <w:rPr>
          <w:rFonts w:cs="Arial"/>
          <w:vertAlign w:val="subscript"/>
        </w:rPr>
        <w:t>3</w:t>
      </w:r>
      <w:r>
        <w:rPr>
          <w:rFonts w:cs="Arial"/>
        </w:rPr>
        <w:t>-Teststäbchen). In Gegenwart von Periodaten muss Natriumsulfit überstöchiometrisch zugesetzt werden; in diesen Fällen kann eine längere Wartezeit als in der Norm angegeben erforderlich sein.</w:t>
      </w:r>
    </w:p>
    <w:p w14:paraId="15CEBB2C" w14:textId="77777777" w:rsidR="006C5BAF" w:rsidRDefault="00EA3C68">
      <w:pPr>
        <w:rPr>
          <w:rFonts w:cs="Arial"/>
        </w:rPr>
      </w:pPr>
      <w:r>
        <w:rPr>
          <w:rFonts w:cs="Arial"/>
        </w:rPr>
        <w:t>Falls Lebendzellen (Algen, Bakterien) in der Probe vermutet werden, ist die Probe mindestens 8 h stehen zu lassen.</w:t>
      </w:r>
    </w:p>
    <w:p w14:paraId="36EF37FD" w14:textId="77777777" w:rsidR="006C5BAF" w:rsidRDefault="00EA3C68">
      <w:pPr>
        <w:rPr>
          <w:rFonts w:cs="Arial"/>
        </w:rPr>
      </w:pPr>
      <w:r>
        <w:rPr>
          <w:rFonts w:cs="Arial"/>
        </w:rPr>
        <w:t xml:space="preserve">Bezüglich der Lagerdauer ist Abschnitt 8 der Norm DIN EN ISO 9562 (H 14) zu beachten. Mit der bei etwa 4 </w:t>
      </w:r>
      <w:proofErr w:type="spellStart"/>
      <w:r>
        <w:rPr>
          <w:rFonts w:cs="Arial"/>
          <w:vertAlign w:val="superscript"/>
        </w:rPr>
        <w:t>o</w:t>
      </w:r>
      <w:r>
        <w:rPr>
          <w:rFonts w:cs="Arial"/>
        </w:rPr>
        <w:t>C</w:t>
      </w:r>
      <w:proofErr w:type="spellEnd"/>
      <w:r>
        <w:rPr>
          <w:rFonts w:cs="Arial"/>
        </w:rPr>
        <w:t xml:space="preserve"> gelagerten Probe ist möglichst innerhalb 24 Stunden nach der Probenahme die Analyse zu beginnen. Diese Lagerdauer ist verbindlich für Proben mit signifikantem Gehalt an flüchtigen organischen Halogenverbindungen. Für viele Fälle, insbesondere wenn das zu untersuchende Wasser längere Zeit mit der Umgebungsluft in Verbindung stand (Oberflächenwasser, Kläranlagenabläufe usw.), </w:t>
      </w:r>
      <w:proofErr w:type="gramStart"/>
      <w:r>
        <w:rPr>
          <w:rFonts w:cs="Arial"/>
        </w:rPr>
        <w:t>können Lagerzeiten bis zu 1 Woche möglich sein</w:t>
      </w:r>
      <w:proofErr w:type="gramEnd"/>
      <w:r>
        <w:rPr>
          <w:rFonts w:cs="Arial"/>
        </w:rPr>
        <w:t>. Im begründeten Einzelfalle können auch längere Lagerungszeiten zulässig sein.</w:t>
      </w:r>
    </w:p>
    <w:p w14:paraId="1243B6CF" w14:textId="77777777" w:rsidR="006C5BAF" w:rsidRDefault="00EA3C68">
      <w:pPr>
        <w:rPr>
          <w:rFonts w:cs="Arial"/>
        </w:rPr>
      </w:pPr>
      <w:r>
        <w:rPr>
          <w:rFonts w:cs="Arial"/>
        </w:rPr>
        <w:t>Die Lagerdauer für eingefrorene Proben ist individuell auf der Basis genauer Kenntnis der Probenzusammensetzung festlegen.</w:t>
      </w:r>
    </w:p>
    <w:p w14:paraId="4AC8EB21" w14:textId="77777777" w:rsidR="006C5BAF" w:rsidRDefault="006C5BAF">
      <w:pPr>
        <w:tabs>
          <w:tab w:val="left" w:pos="1418"/>
        </w:tabs>
        <w:spacing w:before="0"/>
        <w:ind w:left="1418" w:hanging="1418"/>
        <w:rPr>
          <w:rFonts w:cs="Arial"/>
        </w:rPr>
      </w:pPr>
    </w:p>
    <w:p w14:paraId="18F13937" w14:textId="77777777" w:rsidR="006C5BAF" w:rsidRDefault="006C5BAF">
      <w:pPr>
        <w:tabs>
          <w:tab w:val="left" w:pos="1418"/>
        </w:tabs>
        <w:spacing w:before="0"/>
        <w:ind w:left="1418" w:hanging="1418"/>
        <w:rPr>
          <w:rFonts w:cs="Arial"/>
        </w:rPr>
      </w:pPr>
    </w:p>
    <w:p w14:paraId="5FC2F909" w14:textId="77777777" w:rsidR="00162098" w:rsidRDefault="00162098">
      <w:pPr>
        <w:spacing w:before="0" w:after="200" w:line="276" w:lineRule="auto"/>
        <w:rPr>
          <w:rFonts w:ascii="Arial" w:hAnsi="Arial" w:cs="Arial"/>
          <w:b/>
        </w:rPr>
      </w:pPr>
      <w:r>
        <w:br w:type="page"/>
      </w:r>
    </w:p>
    <w:p w14:paraId="792CBFDB" w14:textId="77777777" w:rsidR="006C5BAF" w:rsidRDefault="00EA3C68">
      <w:pPr>
        <w:pStyle w:val="berschrift1"/>
        <w:ind w:left="567" w:hanging="567"/>
      </w:pPr>
      <w:r>
        <w:lastRenderedPageBreak/>
        <w:t>Reagenzien und Gerätschaften</w:t>
      </w:r>
    </w:p>
    <w:p w14:paraId="44C91C56" w14:textId="77777777" w:rsidR="006C5BAF" w:rsidRDefault="00EA3C68">
      <w:r>
        <w:t xml:space="preserve">Als Blindprobe Wasser gemäß DIN ISO 3696, Stufe 1 [3] verwenden bei </w:t>
      </w:r>
    </w:p>
    <w:p w14:paraId="7250D8BE" w14:textId="77777777" w:rsidR="006C5BAF" w:rsidRDefault="00EA3C68">
      <w:pPr>
        <w:ind w:left="284" w:hanging="284"/>
      </w:pPr>
      <w:r>
        <w:t>a)</w:t>
      </w:r>
      <w:r>
        <w:tab/>
        <w:t xml:space="preserve">Anwendung des Prüfverfahrens DIN EN ISO 9562 (H 14): </w:t>
      </w:r>
      <w:r>
        <w:br/>
        <w:t>bei Proben mit maximal 1 g/l Chlorid, auf pH &lt; 2 angesäuert.</w:t>
      </w:r>
    </w:p>
    <w:p w14:paraId="2297F87F" w14:textId="77777777" w:rsidR="006C5BAF" w:rsidRPr="0013149C" w:rsidRDefault="00EA3C68">
      <w:pPr>
        <w:ind w:left="284" w:hanging="284"/>
      </w:pPr>
      <w:r w:rsidRPr="0013149C">
        <w:t>b)</w:t>
      </w:r>
      <w:r w:rsidRPr="0013149C">
        <w:tab/>
        <w:t xml:space="preserve">bei Testproben mit ca. 1 g/l Chlorid: </w:t>
      </w:r>
      <w:r w:rsidRPr="0013149C">
        <w:br/>
        <w:t>1g/l Chlorid gelöst in Wasser, auf pH &lt; 2 angesäuert.</w:t>
      </w:r>
    </w:p>
    <w:p w14:paraId="3B24E333" w14:textId="77777777" w:rsidR="006C5BAF" w:rsidRDefault="00EA3C68">
      <w:pPr>
        <w:ind w:left="284" w:hanging="284"/>
      </w:pPr>
      <w:r>
        <w:t>c)</w:t>
      </w:r>
      <w:r>
        <w:tab/>
        <w:t>Anwendung des Prüfverfahrens DIN EN</w:t>
      </w:r>
      <w:r w:rsidR="007D2EC3">
        <w:t xml:space="preserve"> ISO 9562 (H 14), Anhang A</w:t>
      </w:r>
      <w:r>
        <w:t>:</w:t>
      </w:r>
      <w:r>
        <w:br/>
        <w:t>Wasser, auf pH &lt; 2 angesäuert.</w:t>
      </w:r>
    </w:p>
    <w:p w14:paraId="112CE4CF" w14:textId="77777777" w:rsidR="006C5BAF" w:rsidRDefault="00EA3C68">
      <w:r>
        <w:t>Als Standardsubstanz ist einheitlich 4-Chlorphenol zu verwenden</w:t>
      </w:r>
    </w:p>
    <w:p w14:paraId="0252A568" w14:textId="77777777" w:rsidR="006C5BAF" w:rsidRDefault="00EA3C68">
      <w:pPr>
        <w:spacing w:before="240"/>
        <w:ind w:left="1559" w:hanging="1559"/>
      </w:pPr>
      <w:r>
        <w:rPr>
          <w:b/>
        </w:rPr>
        <w:t>Anmerkung 3:</w:t>
      </w:r>
      <w:r>
        <w:rPr>
          <w:b/>
        </w:rPr>
        <w:tab/>
      </w:r>
      <w:r>
        <w:rPr>
          <w:i/>
        </w:rPr>
        <w:t xml:space="preserve">Die Verwendung der in Abschnitt 6 der Norm DIN EN ISO </w:t>
      </w:r>
      <w:r>
        <w:rPr>
          <w:bCs/>
          <w:i/>
        </w:rPr>
        <w:t>9562 (H 14)</w:t>
      </w:r>
      <w:r>
        <w:rPr>
          <w:i/>
        </w:rPr>
        <w:t xml:space="preserve"> vorgesehenen alternativen Substanz 2-Chlorbenzoesäure wird aufgrund der Tatsache, dass in Deutschland zu wenig Validierungsdaten mit dieser Substanz als AOX-Standard existieren, nicht empfohlen. Die Substanz ist nur sehr langsam löslich.</w:t>
      </w:r>
    </w:p>
    <w:p w14:paraId="37A02FD8" w14:textId="77777777" w:rsidR="006C5BAF" w:rsidRDefault="006C5BAF">
      <w:pPr>
        <w:tabs>
          <w:tab w:val="left" w:pos="1418"/>
        </w:tabs>
        <w:spacing w:before="0"/>
        <w:ind w:left="1418" w:hanging="1418"/>
      </w:pPr>
    </w:p>
    <w:p w14:paraId="175839A1" w14:textId="77777777" w:rsidR="006C5BAF" w:rsidRDefault="00EA3C68">
      <w:pPr>
        <w:rPr>
          <w:rFonts w:ascii="TimesNewRoman" w:hAnsi="TimesNewRoman" w:cs="TimesNewRoman"/>
        </w:rPr>
      </w:pPr>
      <w:r>
        <w:rPr>
          <w:rFonts w:ascii="TimesNewRoman" w:hAnsi="TimesNewRoman" w:cs="TimesNewRoman"/>
        </w:rPr>
        <w:t>Für das Schüttelverfahren sind geeignete Polycarbonat-Membranfilter, Quarzfilter oder Keramikfilter zu verwenden.</w:t>
      </w:r>
    </w:p>
    <w:p w14:paraId="2EA79CE5" w14:textId="77777777" w:rsidR="006C5BAF" w:rsidRDefault="00EA3C68">
      <w:pPr>
        <w:rPr>
          <w:rFonts w:ascii="TimesNewRoman" w:hAnsi="TimesNewRoman" w:cs="TimesNewRoman"/>
        </w:rPr>
      </w:pPr>
      <w:r>
        <w:rPr>
          <w:rFonts w:ascii="TimesNewRoman" w:hAnsi="TimesNewRoman" w:cs="TimesNewRoman"/>
        </w:rPr>
        <w:t>Partikelhaltige Testproben können bei Anwendung des Säulenverfahrens zu Verstopfungen des Adsorptionsmoduls führen. Dies kann durch den Einbau eines geeigneten Vorfilters z. B. mit Keramikwolle, der ebenfalls der Verbrennung zuzuführen ist, als Filtermaterial oder der Verwendung einer Säule mit größerem Durchmesser und einer größeren Menge Aktivkohle verhindert werden (in letzterem Fall ist der Blindwert separat zu bestimmen). Die Testprobe ist von oben auf die Säulen aufzugeben, um sicherzustellen, dass ungelöste Stoffe vollständig erfasst werden.</w:t>
      </w:r>
    </w:p>
    <w:p w14:paraId="6F3ADB00" w14:textId="77777777" w:rsidR="006C5BAF" w:rsidRDefault="00EA3C68">
      <w:pPr>
        <w:spacing w:before="240"/>
        <w:ind w:left="1559" w:hanging="1559"/>
        <w:rPr>
          <w:rFonts w:ascii="TimesNewRoman" w:hAnsi="TimesNewRoman" w:cs="TimesNewRoman"/>
          <w:b/>
        </w:rPr>
      </w:pPr>
      <w:r>
        <w:rPr>
          <w:rFonts w:ascii="TimesNewRoman" w:hAnsi="TimesNewRoman" w:cs="TimesNewRoman"/>
          <w:b/>
        </w:rPr>
        <w:t>Warnhinweis:</w:t>
      </w:r>
      <w:r>
        <w:rPr>
          <w:rFonts w:ascii="TimesNewRoman" w:hAnsi="TimesNewRoman" w:cs="TimesNewRoman"/>
          <w:i/>
        </w:rPr>
        <w:tab/>
        <w:t xml:space="preserve">Keramikwolle kann lungengängige Mikrofasern enthalten. </w:t>
      </w:r>
      <w:r>
        <w:rPr>
          <w:rFonts w:ascii="TimesNewRoman" w:hAnsi="TimesNewRoman" w:cs="TimesNewRoman"/>
          <w:i/>
        </w:rPr>
        <w:br/>
        <w:t>Geeignete Schutzmaßnahmen sind zu ergreifen.</w:t>
      </w:r>
    </w:p>
    <w:p w14:paraId="3FF078B9" w14:textId="77777777" w:rsidR="006C5BAF" w:rsidRDefault="006C5BAF">
      <w:pPr>
        <w:rPr>
          <w:rFonts w:ascii="TimesNewRoman" w:hAnsi="TimesNewRoman" w:cs="TimesNewRoman"/>
        </w:rPr>
      </w:pPr>
    </w:p>
    <w:p w14:paraId="07543670" w14:textId="77777777" w:rsidR="006C5BAF" w:rsidRDefault="006C5BAF">
      <w:pPr>
        <w:spacing w:before="0"/>
      </w:pPr>
    </w:p>
    <w:p w14:paraId="44B92960" w14:textId="77777777" w:rsidR="006C5BAF" w:rsidRDefault="00EA3C68">
      <w:pPr>
        <w:pStyle w:val="berschrift1"/>
        <w:ind w:left="567" w:hanging="567"/>
      </w:pPr>
      <w:r>
        <w:t>Durchführung</w:t>
      </w:r>
    </w:p>
    <w:p w14:paraId="0E7514AE" w14:textId="77777777" w:rsidR="006C5BAF" w:rsidRDefault="006C5BAF"/>
    <w:p w14:paraId="3CA711A8" w14:textId="77777777" w:rsidR="006C5BAF" w:rsidRDefault="00EA3C68">
      <w:pPr>
        <w:pStyle w:val="berschrift2"/>
      </w:pPr>
      <w:r>
        <w:rPr>
          <w:b/>
        </w:rPr>
        <w:t>6.1</w:t>
      </w:r>
      <w:r>
        <w:rPr>
          <w:b/>
        </w:rPr>
        <w:tab/>
      </w:r>
      <w:r>
        <w:t>Vortests</w:t>
      </w:r>
    </w:p>
    <w:p w14:paraId="705D2794" w14:textId="77777777" w:rsidR="006C5BAF" w:rsidRDefault="00EA3C68">
      <w:r>
        <w:t xml:space="preserve">Der Chloridgehalt kann wahlweise maßanalytisch, </w:t>
      </w:r>
      <w:proofErr w:type="spellStart"/>
      <w:r>
        <w:t>ionenchromatografisch</w:t>
      </w:r>
      <w:proofErr w:type="spellEnd"/>
      <w:r>
        <w:t xml:space="preserve"> oder orientierend mit einer Alternativmethode (z. B. Schnelltest) bestimmt werden.</w:t>
      </w:r>
    </w:p>
    <w:p w14:paraId="40C458E5" w14:textId="77777777" w:rsidR="006C5BAF" w:rsidRDefault="00EA3C68">
      <w:pPr>
        <w:spacing w:before="240"/>
        <w:ind w:left="1560" w:hanging="1560"/>
      </w:pPr>
      <w:r>
        <w:rPr>
          <w:b/>
        </w:rPr>
        <w:t>Anmerkung 4:</w:t>
      </w:r>
      <w:r>
        <w:tab/>
      </w:r>
      <w:r>
        <w:rPr>
          <w:i/>
        </w:rPr>
        <w:t>Bei einer elektrischen Leitfähigkeit von &lt; 3000 µS/cm (bei 25 °C), gemessen in einer nicht angesäuerten (Teil)probe, ist der Chloridgehalt in der Testprobe &lt; 1g/l.</w:t>
      </w:r>
    </w:p>
    <w:p w14:paraId="4793140B" w14:textId="77777777" w:rsidR="006C5BAF" w:rsidRDefault="006C5BAF">
      <w:pPr>
        <w:spacing w:before="0"/>
      </w:pPr>
    </w:p>
    <w:p w14:paraId="7074D571" w14:textId="77777777" w:rsidR="006C5BAF" w:rsidRDefault="007D2EC3">
      <w:r>
        <w:t>Falls der DOC benötigt wird</w:t>
      </w:r>
      <w:r w:rsidR="00EA3C68">
        <w:t xml:space="preserve">, diesen nach DIN EN 1484 [4] bestimmen. Der DOC kann auch als Vorinformation aus Proben der Entnahmestelle vorliegen. Für </w:t>
      </w:r>
      <w:proofErr w:type="gramStart"/>
      <w:r w:rsidR="00EA3C68">
        <w:t>Proben</w:t>
      </w:r>
      <w:proofErr w:type="gramEnd"/>
      <w:r w:rsidR="00EA3C68">
        <w:t xml:space="preserve"> die nicht filtriert werden, kann auch der TOC als Vorinformation genutzt werden.</w:t>
      </w:r>
    </w:p>
    <w:p w14:paraId="4D2D3C06" w14:textId="77777777" w:rsidR="006C5BAF" w:rsidRDefault="00EA3C68">
      <w:pPr>
        <w:spacing w:before="240"/>
        <w:ind w:left="1560" w:hanging="1560"/>
        <w:rPr>
          <w:i/>
        </w:rPr>
      </w:pPr>
      <w:r>
        <w:rPr>
          <w:b/>
        </w:rPr>
        <w:t>Anmerkung 5:</w:t>
      </w:r>
      <w:r>
        <w:tab/>
      </w:r>
      <w:r>
        <w:rPr>
          <w:i/>
        </w:rPr>
        <w:t xml:space="preserve">Eine Vorverdünnung aufgrund hoher DOC-Werte ist nur sinnvoll, wenn von der Probe bekannt ist, dass der probenspezifische DOC zu Durchbrüchen und damit zu Minderbefunden bei der AOX Bestimmung führt. In </w:t>
      </w:r>
      <w:proofErr w:type="spellStart"/>
      <w:r>
        <w:rPr>
          <w:i/>
        </w:rPr>
        <w:t>huminstoffreichen</w:t>
      </w:r>
      <w:proofErr w:type="spellEnd"/>
      <w:r>
        <w:rPr>
          <w:i/>
        </w:rPr>
        <w:t xml:space="preserve"> Proben kann es infolge von stabilen organisch gebundenen Eisenchlorid-Komplexen zu deutlichen Überbefunden kommen.</w:t>
      </w:r>
    </w:p>
    <w:p w14:paraId="5B648247" w14:textId="607C70D1" w:rsidR="00162098" w:rsidRDefault="00162098">
      <w:pPr>
        <w:spacing w:before="0" w:after="200" w:line="276" w:lineRule="auto"/>
      </w:pPr>
      <w:r>
        <w:br w:type="page"/>
      </w:r>
    </w:p>
    <w:p w14:paraId="39E6BE4D" w14:textId="77777777" w:rsidR="006C5BAF" w:rsidRDefault="00EA3C68">
      <w:pPr>
        <w:pStyle w:val="berschrift2"/>
        <w:numPr>
          <w:ilvl w:val="1"/>
          <w:numId w:val="1"/>
        </w:numPr>
        <w:ind w:left="567" w:hanging="567"/>
      </w:pPr>
      <w:r>
        <w:lastRenderedPageBreak/>
        <w:t>Durchführung der AOX-Bestimmung</w:t>
      </w:r>
    </w:p>
    <w:p w14:paraId="641F6803" w14:textId="77777777" w:rsidR="006C5BAF" w:rsidRDefault="006C5BAF"/>
    <w:p w14:paraId="23E62557" w14:textId="77777777" w:rsidR="006C5BAF" w:rsidRDefault="00EA3C68">
      <w:pPr>
        <w:tabs>
          <w:tab w:val="left" w:pos="567"/>
        </w:tabs>
        <w:rPr>
          <w:rFonts w:ascii="Arial" w:hAnsi="Arial" w:cs="Arial"/>
        </w:rPr>
      </w:pPr>
      <w:r>
        <w:rPr>
          <w:rFonts w:ascii="Arial" w:hAnsi="Arial" w:cs="Arial"/>
        </w:rPr>
        <w:t>6.2.1</w:t>
      </w:r>
      <w:r>
        <w:rPr>
          <w:rFonts w:ascii="Arial" w:hAnsi="Arial" w:cs="Arial"/>
        </w:rPr>
        <w:tab/>
        <w:t>AOX-Bestimmung</w:t>
      </w:r>
      <w:r>
        <w:t xml:space="preserve"> </w:t>
      </w:r>
      <w:r>
        <w:rPr>
          <w:rFonts w:ascii="Arial" w:hAnsi="Arial" w:cs="Arial"/>
        </w:rPr>
        <w:t>nach DIN EN ISO 9562 (H 14)</w:t>
      </w:r>
    </w:p>
    <w:p w14:paraId="4F3343CF" w14:textId="77777777" w:rsidR="006C5BAF" w:rsidRDefault="00EA3C68">
      <w:r>
        <w:t xml:space="preserve">Das Gesamtverfahren ist nach Abschnitt 9.5.2.1 der Norm DIN EN ISO </w:t>
      </w:r>
      <w:r>
        <w:rPr>
          <w:bCs/>
        </w:rPr>
        <w:t xml:space="preserve">9562 (H 14) </w:t>
      </w:r>
      <w:r>
        <w:t xml:space="preserve">zu prüfen. </w:t>
      </w:r>
    </w:p>
    <w:p w14:paraId="7CBD47CB" w14:textId="77777777" w:rsidR="006C5BAF" w:rsidRDefault="00EA3C68">
      <w:r>
        <w:t xml:space="preserve">Die Wiederfindungsrate der Standardlösung muss zwischen 90 % und 110 % liegen. Falls nicht, erfolgt die Basisprüfung </w:t>
      </w:r>
      <w:proofErr w:type="gramStart"/>
      <w:r>
        <w:t>des Gesamtverfahrens nach</w:t>
      </w:r>
      <w:proofErr w:type="gramEnd"/>
      <w:r>
        <w:t xml:space="preserve"> Abschnitt 9.5.2.2 DIN EN ISO </w:t>
      </w:r>
      <w:r>
        <w:rPr>
          <w:bCs/>
        </w:rPr>
        <w:t>9562 (H 14)</w:t>
      </w:r>
      <w:r w:rsidR="007D2EC3">
        <w:rPr>
          <w:bCs/>
        </w:rPr>
        <w:t>.</w:t>
      </w:r>
      <w:r>
        <w:rPr>
          <w:color w:val="FF0000"/>
        </w:rPr>
        <w:t xml:space="preserve"> </w:t>
      </w:r>
    </w:p>
    <w:p w14:paraId="047830A9" w14:textId="77777777" w:rsidR="006C5BAF" w:rsidRDefault="00EA3C68">
      <w:r>
        <w:t>Die nach Abschnitt 4 dieses Merkblattes vorbehandelte Probe ist vor der analytischen Bestimmung auf Raumtemperatur zu bringen. Hierzu keine Heizeinrichtung verwenden. Falls erforderlich ist der pH-Wert auf &lt; 2 einzustellen.</w:t>
      </w:r>
    </w:p>
    <w:p w14:paraId="11EF64E4" w14:textId="77777777" w:rsidR="006C5BAF" w:rsidRDefault="00EA3C68">
      <w:r>
        <w:t>Vor allen Aliquotierungen (bei Probentransfer aus der Probenflasche in den Erlenmeyerkolben bzw. in das Vorratsgefäß des Adsorptionsmoduls) ist die Probe gemäß DIN 38 402-30 (A 30) [5] zu homogenisieren.</w:t>
      </w:r>
    </w:p>
    <w:p w14:paraId="27FE39B9" w14:textId="3F58CD8D" w:rsidR="006C5BAF" w:rsidRDefault="00EA3C68">
      <w:r>
        <w:t xml:space="preserve">Die Auswahl der Verfahrensvariante – </w:t>
      </w:r>
      <w:r w:rsidR="00DF2D25">
        <w:t>„</w:t>
      </w:r>
      <w:r>
        <w:t xml:space="preserve">Säulenverfahren" oder </w:t>
      </w:r>
      <w:r w:rsidR="00DF2D25">
        <w:t>„</w:t>
      </w:r>
      <w:r>
        <w:t>Schüttelverfahren" – ist vom jeweiligen Labor eigenverantwortlich aufgrund spezieller, ausreichend fundierter Erfahrungen oder aufgrund von gesetzlichen Vorgaben zu treffen.</w:t>
      </w:r>
    </w:p>
    <w:p w14:paraId="5EF93F34" w14:textId="77777777" w:rsidR="006C5BAF" w:rsidRDefault="00EA3C68">
      <w:pPr>
        <w:spacing w:before="240"/>
        <w:ind w:left="1559" w:hanging="1559"/>
      </w:pPr>
      <w:r>
        <w:rPr>
          <w:b/>
        </w:rPr>
        <w:t>Anmerkung 6:</w:t>
      </w:r>
      <w:r>
        <w:t xml:space="preserve"> </w:t>
      </w:r>
      <w:r>
        <w:tab/>
      </w:r>
      <w:r>
        <w:rPr>
          <w:i/>
        </w:rPr>
        <w:t>Die Auswertung</w:t>
      </w:r>
      <w:r>
        <w:t xml:space="preserve"> </w:t>
      </w:r>
      <w:r>
        <w:rPr>
          <w:i/>
        </w:rPr>
        <w:t>eines länderübergreifenden Ringversuchs erbrachte, dass bei AOX-Gehalten &lt; 170 µg/l die Anwendung der Schüttelmethode zu Mehrbefunden von bis zu 15% führen kann.</w:t>
      </w:r>
    </w:p>
    <w:p w14:paraId="1AFA954B" w14:textId="77777777" w:rsidR="006C5BAF" w:rsidRDefault="006C5BAF">
      <w:pPr>
        <w:spacing w:before="0"/>
      </w:pPr>
    </w:p>
    <w:p w14:paraId="1A3E2B33" w14:textId="0AEAB413" w:rsidR="006C5BAF" w:rsidRDefault="00EA3C68">
      <w:r>
        <w:t xml:space="preserve">Bei Chloridgehalten von 0,5 g/l bis 1 g/l empfiehlt </w:t>
      </w:r>
      <w:r w:rsidR="00DF2D25">
        <w:t xml:space="preserve">es </w:t>
      </w:r>
      <w:r>
        <w:t>sich die Säulenmethode anzuwenden.</w:t>
      </w:r>
    </w:p>
    <w:p w14:paraId="5E0C0BE8" w14:textId="6F20490C" w:rsidR="006C5BAF" w:rsidRDefault="00EA3C68">
      <w:pPr>
        <w:spacing w:before="240"/>
        <w:ind w:left="1559" w:hanging="1559"/>
      </w:pPr>
      <w:r>
        <w:rPr>
          <w:b/>
        </w:rPr>
        <w:t>Anmerkung 7:</w:t>
      </w:r>
      <w:r>
        <w:rPr>
          <w:b/>
        </w:rPr>
        <w:tab/>
      </w:r>
      <w:r>
        <w:rPr>
          <w:i/>
        </w:rPr>
        <w:t>Nach AbwV werden aus Proben mit Chloridgehalten zwischen 1 und 5 g/l durch Verdünnung Analysenproben unter 1 g/l hergestellt. Originalproben mit Chloridgehalten über 5 g/l sind nach Anhang A der DIN EN ISO 9562 (SPE-Verfahren) zu analysieren.</w:t>
      </w:r>
    </w:p>
    <w:p w14:paraId="0F31AEF5" w14:textId="77777777" w:rsidR="006C5BAF" w:rsidRDefault="006C5BAF">
      <w:pPr>
        <w:spacing w:before="0"/>
      </w:pPr>
    </w:p>
    <w:p w14:paraId="0011A129" w14:textId="77777777" w:rsidR="006C5BAF" w:rsidRDefault="00EA3C68">
      <w:pPr>
        <w:spacing w:before="240"/>
        <w:ind w:left="1559" w:hanging="1559"/>
        <w:rPr>
          <w:i/>
        </w:rPr>
      </w:pPr>
      <w:r>
        <w:rPr>
          <w:b/>
        </w:rPr>
        <w:t>Anmerkung 8:</w:t>
      </w:r>
      <w:r>
        <w:tab/>
      </w:r>
      <w:r>
        <w:rPr>
          <w:i/>
        </w:rPr>
        <w:t>Für die Zwecke der Abwasserverordnung darf nur das Säulenverfahren eingesetzt werden.</w:t>
      </w:r>
    </w:p>
    <w:p w14:paraId="3F603F31" w14:textId="77777777" w:rsidR="006C5BAF" w:rsidRDefault="006C5BAF">
      <w:pPr>
        <w:spacing w:before="0"/>
      </w:pPr>
    </w:p>
    <w:p w14:paraId="6A651577" w14:textId="77777777" w:rsidR="006C5BAF" w:rsidRDefault="00EA3C68">
      <w:pPr>
        <w:spacing w:before="0"/>
      </w:pPr>
      <w:r>
        <w:t xml:space="preserve">Im Analysenauftrag bzw. im Analysenbericht ist zu beschreiben, wenn abweichend von den Normen DIN EN ISO </w:t>
      </w:r>
      <w:r>
        <w:rPr>
          <w:bCs/>
        </w:rPr>
        <w:t xml:space="preserve">9562 (H 14) </w:t>
      </w:r>
      <w:r>
        <w:t>ein größeres Volumen als 25 ml Nitrat-Waschlösung für das Säulenverfahren oder Schüttelverfahren eingesetzt wird.</w:t>
      </w:r>
    </w:p>
    <w:p w14:paraId="42F55577" w14:textId="77777777" w:rsidR="006C5BAF" w:rsidRDefault="00EA3C68">
      <w:r>
        <w:t xml:space="preserve">Die vollständige Spülung der Säulen ist insbesondere bei </w:t>
      </w:r>
      <w:proofErr w:type="spellStart"/>
      <w:r>
        <w:t>chloridhaltigen</w:t>
      </w:r>
      <w:proofErr w:type="spellEnd"/>
      <w:r>
        <w:t xml:space="preserve"> Proben zu überprüfen. </w:t>
      </w:r>
      <w:proofErr w:type="spellStart"/>
      <w:r>
        <w:t>Chloridstörungen</w:t>
      </w:r>
      <w:proofErr w:type="spellEnd"/>
      <w:r>
        <w:t xml:space="preserve"> sind ab einem Beitrag von 15 µg/l zum Blindwert als signifikant anzusehen. Dies ist mit einer 1000 mg/l </w:t>
      </w:r>
      <w:proofErr w:type="spellStart"/>
      <w:r>
        <w:t>Chloridblindwertkontrolllösung</w:t>
      </w:r>
      <w:proofErr w:type="spellEnd"/>
      <w:r>
        <w:t xml:space="preserve"> zu überprüfen.</w:t>
      </w:r>
    </w:p>
    <w:p w14:paraId="58DC8AE6" w14:textId="164B7D95" w:rsidR="006C5BAF" w:rsidRDefault="00EA3C68">
      <w:pPr>
        <w:spacing w:before="240"/>
        <w:ind w:left="1559" w:hanging="1559"/>
        <w:rPr>
          <w:i/>
        </w:rPr>
      </w:pPr>
      <w:r>
        <w:rPr>
          <w:b/>
        </w:rPr>
        <w:t>Anmerkung 9:</w:t>
      </w:r>
      <w:r>
        <w:rPr>
          <w:b/>
        </w:rPr>
        <w:tab/>
      </w:r>
      <w:r>
        <w:rPr>
          <w:i/>
        </w:rPr>
        <w:t xml:space="preserve">Mit Erhöhung </w:t>
      </w:r>
      <w:r w:rsidR="00DF2D25">
        <w:rPr>
          <w:i/>
        </w:rPr>
        <w:t xml:space="preserve">des Volumens </w:t>
      </w:r>
      <w:r>
        <w:rPr>
          <w:i/>
        </w:rPr>
        <w:t>der Waschlösung können Störungen durch hohe Chloridgehalte verringert werden, die Gefahr der Auswaschung schlecht adsorbierter Verbindungen wird dabei jedoch erhöht. Der Nachweis der Vollständigkeit der Adsorption ist in solchen Fällen mit besonderer Sorgfalt durchzuführen. Die Erhöhung des Spülvolumens ist beim Ergebnis zu vermerken.</w:t>
      </w:r>
    </w:p>
    <w:p w14:paraId="1FC97D23" w14:textId="77777777" w:rsidR="006C5BAF" w:rsidRDefault="006C5BAF">
      <w:pPr>
        <w:spacing w:before="0"/>
        <w:ind w:left="1559" w:hanging="1559"/>
      </w:pPr>
    </w:p>
    <w:p w14:paraId="0FD26A8E" w14:textId="4F987893" w:rsidR="006C5BAF" w:rsidRDefault="00EA3C68">
      <w:r>
        <w:t xml:space="preserve">Jede Bestimmung besteht aus der Adsorption auf mindestens 2 hintereinander geschalteten Säulen, welche in der Regel einzeln analysiert werden. Bei bekanntermaßen niedrigen AOX-Werten der Originalprobe (&lt; 100 µg/l) können beide Säulen gemeinsam verbrannt werden, vorausgesetzt die Vollständigkeit der Adsorption gemäß DIN EN ISO 9562 (H 14) ist </w:t>
      </w:r>
      <w:r w:rsidRPr="003D13AB">
        <w:t>nachgewiesen</w:t>
      </w:r>
      <w:r w:rsidR="0013149C" w:rsidRPr="003D13AB">
        <w:t xml:space="preserve"> (</w:t>
      </w:r>
      <w:r w:rsidR="00F27081" w:rsidRPr="003D13AB">
        <w:t>Abweichung der beiden Bestimmungen nicht mehr als</w:t>
      </w:r>
      <w:r w:rsidR="0013149C" w:rsidRPr="003D13AB">
        <w:t xml:space="preserve"> 10µg/l</w:t>
      </w:r>
      <w:r w:rsidR="00DF2D25">
        <w:t xml:space="preserve"> voneinander</w:t>
      </w:r>
      <w:r w:rsidR="0013149C" w:rsidRPr="003D13AB">
        <w:t>)</w:t>
      </w:r>
      <w:r>
        <w:t xml:space="preserve">. </w:t>
      </w:r>
    </w:p>
    <w:p w14:paraId="164E7DF7" w14:textId="7C416D0B" w:rsidR="006C5BAF" w:rsidRDefault="00EA3C68">
      <w:r>
        <w:lastRenderedPageBreak/>
        <w:t>In jedem Falle (auch bei</w:t>
      </w:r>
      <w:r w:rsidR="00DF2D25">
        <w:t>m</w:t>
      </w:r>
      <w:r>
        <w:t xml:space="preserve"> Schüttelverfahren) ist die Vollständigkeit der Adsorption zu prüfen. Dabei genau die entsprechenden Anweisungen im Abschnitt 10.2 der Norm DIN EN ISO </w:t>
      </w:r>
      <w:r>
        <w:rPr>
          <w:bCs/>
        </w:rPr>
        <w:t xml:space="preserve">9562 (H 14) </w:t>
      </w:r>
      <w:r>
        <w:t>beachten.</w:t>
      </w:r>
    </w:p>
    <w:p w14:paraId="5C431EEE" w14:textId="77777777" w:rsidR="006C5BAF" w:rsidRDefault="00EA3C68">
      <w:r>
        <w:t xml:space="preserve">Zum Nachweis der Vollständigkeit der Adsorption müssen die Verdünnungsansätze der Doppelbestimmungen sich um mindestens Faktor zwei unterscheiden, wenn die Säulen gemeinsam verbrannt werden. </w:t>
      </w:r>
    </w:p>
    <w:p w14:paraId="7275BADD" w14:textId="77777777" w:rsidR="0073421F" w:rsidRDefault="0073421F" w:rsidP="0073421F">
      <w:r>
        <w:t>Wenn die Säulen einzeln verbrannt werden, darf der AOX-Wert der zweiten Adsorptionssäule 25 % des AOX-Wertes der ersten Säule nicht überschreiten.</w:t>
      </w:r>
    </w:p>
    <w:p w14:paraId="528FAA72" w14:textId="449F45CC" w:rsidR="0073421F" w:rsidRDefault="0073421F" w:rsidP="0073421F">
      <w:r w:rsidRPr="00EC49B0">
        <w:t>Sollten verschiedene Verdünnungsansätze zu keine</w:t>
      </w:r>
      <w:r w:rsidR="00EC49B0">
        <w:t>n</w:t>
      </w:r>
      <w:r w:rsidRPr="00EC49B0">
        <w:t xml:space="preserve"> validen Ergebnissen (siehe nach Abschnitt 10.2 der DIN) </w:t>
      </w:r>
      <w:r w:rsidR="001752B3">
        <w:t>führen</w:t>
      </w:r>
      <w:r w:rsidRPr="00EC49B0">
        <w:t>, müssen Ansätze mit mehr als 2 Säulen, maximal 4, durchgeführt werden. Hier darf der AOX-Wert der letzten Adsorptionssäule 25 % des AOX-Wertes der vorherigen Säule nicht überschreiten.</w:t>
      </w:r>
    </w:p>
    <w:p w14:paraId="16068521" w14:textId="1A2C43A2" w:rsidR="006C5BAF" w:rsidRDefault="00EA3C68">
      <w:r>
        <w:t>Bei Anwendung eines Vorfilters (siehe Abschnitt 5 dieses Merkblattes) entspricht der AOX der 1. Adsorption der Summe aus dem AOX des Vorfilters und dem AOX der 1. (= oberen) Säule. Der AOX der 2. Adsorption entspricht dem AOX der 2. (= unteren) Säule</w:t>
      </w:r>
      <w:r w:rsidR="009A017F">
        <w:t>.</w:t>
      </w:r>
    </w:p>
    <w:p w14:paraId="132DEF59" w14:textId="77777777" w:rsidR="006C5BAF" w:rsidRDefault="00EA3C68">
      <w:pPr>
        <w:spacing w:before="240"/>
        <w:ind w:left="1560" w:hanging="1560"/>
        <w:rPr>
          <w:i/>
        </w:rPr>
      </w:pPr>
      <w:r>
        <w:rPr>
          <w:b/>
        </w:rPr>
        <w:t>Anmerkung 10:</w:t>
      </w:r>
      <w:r>
        <w:rPr>
          <w:b/>
        </w:rPr>
        <w:tab/>
      </w:r>
      <w:r>
        <w:rPr>
          <w:i/>
        </w:rPr>
        <w:t>Wenn die Adsorption über weitere Säulen fortgesetzt werden muss, so ist die Vollständigkeit der Adsorption gegeben, wenn der AOX des letzten Adsorptionsschrittes weniger als 25 % der Summe der vorangegangenen Adsorptionsschritte beträgt.</w:t>
      </w:r>
    </w:p>
    <w:p w14:paraId="6443F130" w14:textId="77777777" w:rsidR="006C5BAF" w:rsidRDefault="006C5BAF">
      <w:pPr>
        <w:spacing w:before="0"/>
      </w:pPr>
    </w:p>
    <w:p w14:paraId="1D889FB2" w14:textId="77777777" w:rsidR="006C5BAF" w:rsidRDefault="00EA3C68">
      <w:r>
        <w:t>In der Regel sind an jeder Probe Doppelbestimmungen durchzuführen.</w:t>
      </w:r>
    </w:p>
    <w:p w14:paraId="1D6340AA" w14:textId="77777777" w:rsidR="006C5BAF" w:rsidRDefault="00EA3C68">
      <w:pPr>
        <w:spacing w:before="240"/>
        <w:ind w:left="1559" w:hanging="1559"/>
        <w:rPr>
          <w:i/>
        </w:rPr>
      </w:pPr>
      <w:r>
        <w:rPr>
          <w:b/>
        </w:rPr>
        <w:t>Anmerkung 11:</w:t>
      </w:r>
      <w:r>
        <w:rPr>
          <w:b/>
        </w:rPr>
        <w:tab/>
      </w:r>
      <w:r>
        <w:rPr>
          <w:i/>
        </w:rPr>
        <w:t>Von dieser Regelarbeitsweise kann in begründeten Fällen abgewichen werden, z. B.:</w:t>
      </w:r>
    </w:p>
    <w:p w14:paraId="03B47ACD" w14:textId="77777777" w:rsidR="006C5BAF" w:rsidRDefault="00EA3C68">
      <w:pPr>
        <w:numPr>
          <w:ilvl w:val="0"/>
          <w:numId w:val="4"/>
        </w:numPr>
        <w:ind w:left="1843" w:hanging="283"/>
        <w:rPr>
          <w:i/>
        </w:rPr>
      </w:pPr>
      <w:r>
        <w:rPr>
          <w:i/>
        </w:rPr>
        <w:t>Für Grundwasser, unbelastetes Oberflächenwasser, Niederschlagswasser:</w:t>
      </w:r>
      <w:r>
        <w:rPr>
          <w:i/>
        </w:rPr>
        <w:br/>
        <w:t>Einfachbestimmung</w:t>
      </w:r>
    </w:p>
    <w:p w14:paraId="3DD7B110" w14:textId="77777777" w:rsidR="006C5BAF" w:rsidRPr="009A017F" w:rsidRDefault="00EA3C68" w:rsidP="009A017F">
      <w:pPr>
        <w:numPr>
          <w:ilvl w:val="0"/>
          <w:numId w:val="4"/>
        </w:numPr>
        <w:ind w:left="1843" w:hanging="283"/>
        <w:rPr>
          <w:i/>
        </w:rPr>
      </w:pPr>
      <w:r w:rsidRPr="009A017F">
        <w:rPr>
          <w:i/>
        </w:rPr>
        <w:t>Für inhomogene Proben (z. B. mit großem Anteil an Feststoffen) oder abgaberelevante</w:t>
      </w:r>
      <w:r w:rsidR="009A017F" w:rsidRPr="009A017F">
        <w:rPr>
          <w:i/>
        </w:rPr>
        <w:t xml:space="preserve"> </w:t>
      </w:r>
      <w:r w:rsidRPr="009A017F">
        <w:rPr>
          <w:i/>
        </w:rPr>
        <w:t>Untersuchungen (z. B. AbwAG-Analysen) können drei oder mehr Parallelbestimmungen erforderlich sein.</w:t>
      </w:r>
    </w:p>
    <w:p w14:paraId="16B07B32" w14:textId="77777777" w:rsidR="006C5BAF" w:rsidRDefault="00EA3C68">
      <w:pPr>
        <w:numPr>
          <w:ilvl w:val="0"/>
          <w:numId w:val="4"/>
        </w:numPr>
        <w:ind w:left="1843" w:hanging="283"/>
        <w:rPr>
          <w:i/>
        </w:rPr>
      </w:pPr>
      <w:r>
        <w:rPr>
          <w:i/>
        </w:rPr>
        <w:t xml:space="preserve">Bei hohen Feststoffanteilen oder wenn die Probe nicht </w:t>
      </w:r>
      <w:proofErr w:type="spellStart"/>
      <w:r>
        <w:rPr>
          <w:i/>
        </w:rPr>
        <w:t>homogenisierbar</w:t>
      </w:r>
      <w:proofErr w:type="spellEnd"/>
      <w:r>
        <w:rPr>
          <w:i/>
        </w:rPr>
        <w:t xml:space="preserve"> ist, sind Filtrat und Partikel getrennt zu bestimmen oder die Anwendung der DIN 38414-18 (S 18) [6] in Betracht zu ziehen.</w:t>
      </w:r>
    </w:p>
    <w:p w14:paraId="0B72F27A" w14:textId="77777777" w:rsidR="006C5BAF" w:rsidRDefault="00EA3C68" w:rsidP="00E22D0E">
      <w:pPr>
        <w:ind w:left="1560"/>
        <w:rPr>
          <w:i/>
        </w:rPr>
      </w:pPr>
      <w:r>
        <w:rPr>
          <w:i/>
        </w:rPr>
        <w:t>Abweichungen sind bei der Ergebnisangabe zu dokumentieren.</w:t>
      </w:r>
    </w:p>
    <w:p w14:paraId="370A4F10" w14:textId="4A6D3CE3" w:rsidR="006C5BAF" w:rsidRDefault="006C5BAF"/>
    <w:p w14:paraId="5BC5BC49" w14:textId="0A026DC4" w:rsidR="00284662" w:rsidRDefault="00284662"/>
    <w:p w14:paraId="1A39B546" w14:textId="77777777" w:rsidR="00284662" w:rsidRDefault="00284662"/>
    <w:p w14:paraId="2187EA90" w14:textId="77777777" w:rsidR="006C5BAF" w:rsidRDefault="00EA3C68">
      <w:pPr>
        <w:ind w:left="564" w:hanging="564"/>
        <w:rPr>
          <w:rFonts w:ascii="Arial" w:hAnsi="Arial" w:cs="Arial"/>
        </w:rPr>
      </w:pPr>
      <w:r>
        <w:rPr>
          <w:rFonts w:ascii="Arial" w:hAnsi="Arial" w:cs="Arial"/>
        </w:rPr>
        <w:t>6.2.2</w:t>
      </w:r>
      <w:r>
        <w:rPr>
          <w:rFonts w:ascii="Arial" w:hAnsi="Arial" w:cs="Arial"/>
        </w:rPr>
        <w:tab/>
        <w:t xml:space="preserve">SPE-AOX-Bestimmung nach DIN EN ISO 9562 (H 14), Anhang A </w:t>
      </w:r>
    </w:p>
    <w:p w14:paraId="763E504E" w14:textId="77777777" w:rsidR="006C5BAF" w:rsidRDefault="00EA3C68">
      <w:r>
        <w:t>Es gelten die Angaben gemäß 6.1 bis 6.2.1 mit folgenden Vorgaben:</w:t>
      </w:r>
    </w:p>
    <w:p w14:paraId="4F9BB0CD" w14:textId="77777777" w:rsidR="006C5BAF" w:rsidRDefault="00EA3C68">
      <w:r>
        <w:t>Eine Filtration erfolgt bei partikelhaltigen Proben.</w:t>
      </w:r>
    </w:p>
    <w:p w14:paraId="22DA9B0A" w14:textId="77777777" w:rsidR="006C5BAF" w:rsidRDefault="00EA3C68">
      <w:r>
        <w:t>Stark schwebstoffhaltige Proben werden über ein geeignetes Filter grob vorfiltriert und danach über ein 0,45 µm Membranfilter (PC, PE oder auch Cellulosenitrat) feinfiltriert. Zum Nachweis der Vollständigkeit der Adsorption mindestens zwei Ansätze unterschiedlicher Verdünnungen analysieren.</w:t>
      </w:r>
    </w:p>
    <w:p w14:paraId="377A9E0F" w14:textId="77777777" w:rsidR="006C5BAF" w:rsidRDefault="006C5BAF"/>
    <w:p w14:paraId="3C4C0E9D" w14:textId="77777777" w:rsidR="00162098" w:rsidRDefault="00162098">
      <w:pPr>
        <w:spacing w:before="0" w:after="200" w:line="276" w:lineRule="auto"/>
        <w:rPr>
          <w:rFonts w:ascii="Arial" w:hAnsi="Arial" w:cs="Arial"/>
        </w:rPr>
      </w:pPr>
      <w:r>
        <w:rPr>
          <w:b/>
        </w:rPr>
        <w:br w:type="page"/>
      </w:r>
    </w:p>
    <w:p w14:paraId="760E6D9A" w14:textId="7D125923" w:rsidR="006C5BAF" w:rsidRDefault="00EA3C68">
      <w:pPr>
        <w:pStyle w:val="berschrift1"/>
        <w:numPr>
          <w:ilvl w:val="0"/>
          <w:numId w:val="0"/>
        </w:numPr>
        <w:ind w:left="567" w:hanging="567"/>
        <w:rPr>
          <w:rFonts w:ascii="Times New Roman" w:hAnsi="Times New Roman" w:cs="Times New Roman"/>
        </w:rPr>
      </w:pPr>
      <w:r>
        <w:rPr>
          <w:b w:val="0"/>
        </w:rPr>
        <w:lastRenderedPageBreak/>
        <w:t>6.2.3</w:t>
      </w:r>
      <w:r>
        <w:rPr>
          <w:b w:val="0"/>
        </w:rPr>
        <w:tab/>
        <w:t>Ergebnisberechnung</w:t>
      </w:r>
    </w:p>
    <w:p w14:paraId="228FAA14" w14:textId="77777777" w:rsidR="006C5BAF" w:rsidRDefault="00EA3C68">
      <w:pPr>
        <w:numPr>
          <w:ilvl w:val="0"/>
          <w:numId w:val="4"/>
        </w:numPr>
        <w:ind w:left="851" w:hanging="284"/>
      </w:pPr>
      <w:r>
        <w:t>Gemeinsame Verbrennung der Aktivkohlesäulen</w:t>
      </w:r>
    </w:p>
    <w:p w14:paraId="7C7C81ED" w14:textId="77777777" w:rsidR="006C5BAF" w:rsidRDefault="00EA3C68">
      <w:pPr>
        <w:ind w:right="255"/>
      </w:pPr>
      <w:r>
        <w:t>Liegen bei gemeinsam verbrannten Säulen die Ergebnisse der zwei Verdünnungsansätze weniger als 10 % auseinander, kann der Mittelwert gebildet werden. Bei stärker abweichenden Einzelergebnissen sind weitere Messungen – in der Regel mit höheren Verdünnungen oder mit Einzelverbrennung – vorzunehmen.</w:t>
      </w:r>
    </w:p>
    <w:p w14:paraId="4F9157EF" w14:textId="77777777" w:rsidR="006C5BAF" w:rsidRDefault="00EA3C68">
      <w:pPr>
        <w:numPr>
          <w:ilvl w:val="0"/>
          <w:numId w:val="4"/>
        </w:numPr>
        <w:ind w:left="851" w:hanging="284"/>
      </w:pPr>
      <w:r>
        <w:t>Getrennte Verbrennung der Aktivkohlesäulen</w:t>
      </w:r>
    </w:p>
    <w:p w14:paraId="15E748F7" w14:textId="6BEFD3D9" w:rsidR="006C5BAF" w:rsidRDefault="00EA3C68">
      <w:pPr>
        <w:ind w:right="255"/>
      </w:pPr>
      <w:r>
        <w:t xml:space="preserve">Durch Addition der Ergebnisse der Verbrennung aller </w:t>
      </w:r>
      <w:r w:rsidR="00423FC0" w:rsidRPr="00284662">
        <w:t>Säulen</w:t>
      </w:r>
      <w:r w:rsidR="00423FC0">
        <w:t xml:space="preserve"> </w:t>
      </w:r>
      <w:r>
        <w:t xml:space="preserve">werden die AOX-Einzelergebnisse ermittelt. Die Einzelwerte der Doppelbestimmung dürfen sich zur Mittelwertbildung höchsten 20 % oder weniger </w:t>
      </w:r>
      <w:r w:rsidRPr="00284662">
        <w:t xml:space="preserve">als </w:t>
      </w:r>
      <w:r w:rsidR="00EC49B0" w:rsidRPr="00284662">
        <w:t>1</w:t>
      </w:r>
      <w:r w:rsidRPr="00284662">
        <w:t>0</w:t>
      </w:r>
      <w:r>
        <w:t xml:space="preserve"> </w:t>
      </w:r>
      <w:r w:rsidR="00284662">
        <w:t>µg/l voneinander unterscheiden.</w:t>
      </w:r>
    </w:p>
    <w:p w14:paraId="64E6D6BD" w14:textId="733CDF5F" w:rsidR="006C5BAF" w:rsidRDefault="00EA3C68">
      <w:pPr>
        <w:ind w:right="255"/>
      </w:pPr>
      <w:r>
        <w:t>Liegen die ersten beiden Mes</w:t>
      </w:r>
      <w:r w:rsidR="00284662">
        <w:t>sungen außerhalb des 20%-(bzw. 1</w:t>
      </w:r>
      <w:r>
        <w:t>0 µg/</w:t>
      </w:r>
      <w:proofErr w:type="gramStart"/>
      <w:r>
        <w:t>l)-</w:t>
      </w:r>
      <w:proofErr w:type="gramEnd"/>
      <w:r>
        <w:t>Kriteriums sind weitere Bestimmungen – in der Regel mit höheren Verdünnungen – vorzunehmen.</w:t>
      </w:r>
    </w:p>
    <w:p w14:paraId="06C8F48B" w14:textId="3B1685B4" w:rsidR="006C5BAF" w:rsidRDefault="00EA3C68">
      <w:pPr>
        <w:ind w:right="255"/>
      </w:pPr>
      <w:r w:rsidRPr="004208D2">
        <w:t>Proben, die bei Einzelverbrennung auch nach 4 Wiederholbestimmungen die Kriterien der Mittelwertbildung nicht erfüllen</w:t>
      </w:r>
      <w:r w:rsidR="004208D2" w:rsidRPr="004208D2">
        <w:t xml:space="preserve"> (s. Kap. 6.2.1)</w:t>
      </w:r>
      <w:r w:rsidRPr="004208D2">
        <w:t>, werden z. B. als „nicht auswertbar“ berichtet. Die Ergebnisse der jeweiligen Einzelbestimmungen können als Ergebnis berichtet werden.</w:t>
      </w:r>
    </w:p>
    <w:p w14:paraId="665A30D7" w14:textId="77777777" w:rsidR="006C5BAF" w:rsidRDefault="006C5BAF">
      <w:pPr>
        <w:pStyle w:val="KeinLeerraum"/>
      </w:pPr>
    </w:p>
    <w:p w14:paraId="2D1098B9" w14:textId="77777777" w:rsidR="006C5BAF" w:rsidRDefault="006C5BAF">
      <w:pPr>
        <w:pStyle w:val="KeinLeerraum"/>
      </w:pPr>
    </w:p>
    <w:p w14:paraId="70BFCB45" w14:textId="77777777" w:rsidR="006C5BAF" w:rsidRDefault="00EA3C68">
      <w:pPr>
        <w:pStyle w:val="berschrift1"/>
        <w:ind w:left="567" w:hanging="567"/>
      </w:pPr>
      <w:r>
        <w:t>Maßnahmen</w:t>
      </w:r>
      <w:r>
        <w:rPr>
          <w:rFonts w:ascii="Times New Roman" w:hAnsi="Times New Roman" w:cs="Times New Roman"/>
          <w:b w:val="0"/>
        </w:rPr>
        <w:t xml:space="preserve"> </w:t>
      </w:r>
      <w:r>
        <w:t>zur Analytischen Qualitätskontrolle (AQK)</w:t>
      </w:r>
    </w:p>
    <w:p w14:paraId="08E5FCA6" w14:textId="77777777" w:rsidR="006C5BAF" w:rsidRDefault="006C5BAF"/>
    <w:p w14:paraId="7A1A130A" w14:textId="77777777" w:rsidR="006C5BAF" w:rsidRDefault="00EA3C68">
      <w:pPr>
        <w:pStyle w:val="berschrift1"/>
        <w:numPr>
          <w:ilvl w:val="0"/>
          <w:numId w:val="0"/>
        </w:numPr>
      </w:pPr>
      <w:r>
        <w:t>7.1</w:t>
      </w:r>
      <w:r>
        <w:tab/>
        <w:t>Interne Qualitätskontrolle</w:t>
      </w:r>
    </w:p>
    <w:p w14:paraId="55596350" w14:textId="77777777" w:rsidR="006C5BAF" w:rsidRDefault="00EA3C68">
      <w:r>
        <w:t>Die Maßnahmen der internen Qualitätskontrolle sind in der Tabelle 1 zusammengestellt.</w:t>
      </w:r>
    </w:p>
    <w:p w14:paraId="6143D77E" w14:textId="77777777" w:rsidR="006C5BAF" w:rsidRDefault="00EA3C68">
      <w:r>
        <w:t>Messplatzbezogen sind die folgenden internen Kontrollmaßnahmen vorzunehmen.</w:t>
      </w:r>
    </w:p>
    <w:p w14:paraId="08A2B441" w14:textId="0689ACE0" w:rsidR="006C5BAF" w:rsidRDefault="006C5BAF">
      <w:pPr>
        <w:spacing w:before="240"/>
      </w:pPr>
    </w:p>
    <w:p w14:paraId="64E9D311" w14:textId="77777777" w:rsidR="006C5BAF" w:rsidRDefault="00EA3C68">
      <w:pPr>
        <w:pStyle w:val="berschrift1"/>
        <w:numPr>
          <w:ilvl w:val="0"/>
          <w:numId w:val="0"/>
        </w:numPr>
        <w:ind w:left="567" w:hanging="567"/>
        <w:rPr>
          <w:b w:val="0"/>
        </w:rPr>
      </w:pPr>
      <w:r>
        <w:rPr>
          <w:b w:val="0"/>
        </w:rPr>
        <w:t>7.1.1</w:t>
      </w:r>
      <w:r>
        <w:rPr>
          <w:b w:val="0"/>
        </w:rPr>
        <w:tab/>
        <w:t>Blindwertkriterien</w:t>
      </w:r>
    </w:p>
    <w:p w14:paraId="79531F82" w14:textId="77777777" w:rsidR="006C5BAF" w:rsidRDefault="00EA3C68">
      <w:r>
        <w:t xml:space="preserve">Das Verfahren DIN EN ISO </w:t>
      </w:r>
      <w:r>
        <w:rPr>
          <w:bCs/>
        </w:rPr>
        <w:t>9562 (H 14)</w:t>
      </w:r>
      <w:r>
        <w:t xml:space="preserve"> erfordert die arbeitstägliche Bestimmung von Blindwerten.</w:t>
      </w:r>
    </w:p>
    <w:p w14:paraId="04ECC82C" w14:textId="77777777" w:rsidR="006C5BAF" w:rsidRDefault="00EA3C68">
      <w:r>
        <w:t xml:space="preserve">Hierfür wird eine Ausschlussobergrenze von 15 µg/l unabhängig von der Anzahl der verwendeten Aktivkohlesäulen festgelegt. Dies gilt auch für 1000 mg/l </w:t>
      </w:r>
      <w:proofErr w:type="spellStart"/>
      <w:r>
        <w:t>Chloridblindwertkontrolllösung</w:t>
      </w:r>
      <w:proofErr w:type="spellEnd"/>
      <w:r>
        <w:t xml:space="preserve"> und dies ist auch zu überprüfen.</w:t>
      </w:r>
    </w:p>
    <w:p w14:paraId="0AC802E6" w14:textId="77777777" w:rsidR="006C5BAF" w:rsidRDefault="00EA3C68">
      <w:r>
        <w:t xml:space="preserve">Es empfiehlt sich Säulen, die weniger als 0,5 µg </w:t>
      </w:r>
      <w:proofErr w:type="spellStart"/>
      <w:r>
        <w:t>Chloridäquivalent</w:t>
      </w:r>
      <w:proofErr w:type="spellEnd"/>
      <w:r>
        <w:t xml:space="preserve"> absolut enthalten, zu verwenden.</w:t>
      </w:r>
    </w:p>
    <w:p w14:paraId="3623ECE6" w14:textId="77777777" w:rsidR="006C5BAF" w:rsidRDefault="006C5BAF"/>
    <w:p w14:paraId="1B440800" w14:textId="77777777" w:rsidR="006C5BAF" w:rsidRDefault="00EA3C68">
      <w:pPr>
        <w:pStyle w:val="berschrift1"/>
        <w:numPr>
          <w:ilvl w:val="0"/>
          <w:numId w:val="0"/>
        </w:numPr>
        <w:rPr>
          <w:b w:val="0"/>
        </w:rPr>
      </w:pPr>
      <w:r>
        <w:rPr>
          <w:b w:val="0"/>
        </w:rPr>
        <w:t>7.1.2</w:t>
      </w:r>
      <w:r>
        <w:rPr>
          <w:b w:val="0"/>
        </w:rPr>
        <w:tab/>
        <w:t>Mittelwertkontrollkarte oder Mittelwertzielkarte</w:t>
      </w:r>
    </w:p>
    <w:p w14:paraId="1BF3B6AD" w14:textId="77777777" w:rsidR="006C5BAF" w:rsidRDefault="00EA3C68">
      <w:pPr>
        <w:tabs>
          <w:tab w:val="left" w:pos="1276"/>
        </w:tabs>
        <w:ind w:left="1276" w:hanging="1276"/>
      </w:pPr>
      <w:r>
        <w:t>Matrix:</w:t>
      </w:r>
      <w:r>
        <w:tab/>
        <w:t>Standardlösung aus 4-Chlorphenol in Wasser, Herstellung wie in der Norm beschrieben.</w:t>
      </w:r>
    </w:p>
    <w:p w14:paraId="6FB3DA0B" w14:textId="77777777" w:rsidR="006C5BAF" w:rsidRDefault="00EA3C68">
      <w:pPr>
        <w:tabs>
          <w:tab w:val="left" w:pos="1276"/>
        </w:tabs>
        <w:ind w:left="1276" w:hanging="1276"/>
      </w:pPr>
      <w:r>
        <w:t>Häufigkeit:</w:t>
      </w:r>
      <w:r>
        <w:tab/>
        <w:t>arbeitstäglich</w:t>
      </w:r>
    </w:p>
    <w:p w14:paraId="3E2A4E96" w14:textId="77777777" w:rsidR="006C5BAF" w:rsidRDefault="00EA3C68">
      <w:r>
        <w:t>Als Ausschlussuntergrenze wird 90 %, als Ausschlussobergrenze 110 % des Sollwertes festgelegt.</w:t>
      </w:r>
    </w:p>
    <w:p w14:paraId="7815B63E" w14:textId="77777777" w:rsidR="006C5BAF" w:rsidRDefault="006C5BAF"/>
    <w:p w14:paraId="303E2A1D" w14:textId="77777777" w:rsidR="00162098" w:rsidRDefault="00162098">
      <w:pPr>
        <w:spacing w:before="0" w:after="200" w:line="276" w:lineRule="auto"/>
        <w:rPr>
          <w:rFonts w:ascii="Arial" w:hAnsi="Arial" w:cs="Arial"/>
        </w:rPr>
      </w:pPr>
      <w:r>
        <w:rPr>
          <w:b/>
        </w:rPr>
        <w:br w:type="page"/>
      </w:r>
    </w:p>
    <w:p w14:paraId="73FD5BFC" w14:textId="3353C876" w:rsidR="006C5BAF" w:rsidRDefault="00EA3C68">
      <w:pPr>
        <w:pStyle w:val="berschrift1"/>
        <w:numPr>
          <w:ilvl w:val="0"/>
          <w:numId w:val="0"/>
        </w:numPr>
        <w:ind w:left="567" w:hanging="567"/>
        <w:rPr>
          <w:b w:val="0"/>
        </w:rPr>
      </w:pPr>
      <w:r>
        <w:rPr>
          <w:b w:val="0"/>
        </w:rPr>
        <w:lastRenderedPageBreak/>
        <w:t>7.1.3</w:t>
      </w:r>
      <w:r>
        <w:rPr>
          <w:b w:val="0"/>
        </w:rPr>
        <w:tab/>
        <w:t xml:space="preserve">relative Spannweitenkontrollkarte oder relative Spannweitenzielkarte </w:t>
      </w:r>
    </w:p>
    <w:p w14:paraId="59BECF4D" w14:textId="77777777" w:rsidR="006C5BAF" w:rsidRDefault="00EA3C68">
      <w:r>
        <w:t>Wenn nicht durchgehend Doppelbestimmungen erfolgen, muss eine Spannweitenkontrolle durchgeführt werden.</w:t>
      </w:r>
    </w:p>
    <w:p w14:paraId="0823A773" w14:textId="77777777" w:rsidR="006C5BAF" w:rsidRDefault="00EA3C68">
      <w:pPr>
        <w:tabs>
          <w:tab w:val="left" w:pos="1276"/>
        </w:tabs>
        <w:ind w:left="1276" w:hanging="1276"/>
      </w:pPr>
      <w:r>
        <w:t xml:space="preserve">Matrix: </w:t>
      </w:r>
      <w:r>
        <w:tab/>
        <w:t>reale Proben</w:t>
      </w:r>
    </w:p>
    <w:p w14:paraId="5ADB9E86" w14:textId="77777777" w:rsidR="006C5BAF" w:rsidRDefault="00EA3C68">
      <w:pPr>
        <w:tabs>
          <w:tab w:val="left" w:pos="1276"/>
        </w:tabs>
        <w:ind w:left="1276" w:hanging="1276"/>
      </w:pPr>
      <w:r>
        <w:t>Häufigkeit:</w:t>
      </w:r>
      <w:r>
        <w:tab/>
        <w:t xml:space="preserve">arbeitstäglich </w:t>
      </w:r>
    </w:p>
    <w:p w14:paraId="364F3AAD" w14:textId="77777777" w:rsidR="006C5BAF" w:rsidRDefault="00EA3C68">
      <w:r>
        <w:t xml:space="preserve">Max. 20 % bezogen auf den Mittelwert bzw. nicht mehr als </w:t>
      </w:r>
      <w:r w:rsidRPr="004208D2">
        <w:t>10</w:t>
      </w:r>
      <w:r>
        <w:t xml:space="preserve"> µg/l bei AOX &lt; 100µg/l.</w:t>
      </w:r>
    </w:p>
    <w:p w14:paraId="188AE26E" w14:textId="77777777" w:rsidR="006C5BAF" w:rsidRDefault="006C5BAF"/>
    <w:p w14:paraId="231D58CD" w14:textId="77777777" w:rsidR="006C5BAF" w:rsidRDefault="00EA3C68">
      <w:pPr>
        <w:pStyle w:val="berschrift1"/>
        <w:numPr>
          <w:ilvl w:val="0"/>
          <w:numId w:val="0"/>
        </w:numPr>
        <w:ind w:left="567" w:hanging="567"/>
      </w:pPr>
      <w:r>
        <w:t>7.2</w:t>
      </w:r>
      <w:r>
        <w:tab/>
        <w:t>Externe Qualitätskontrolle</w:t>
      </w:r>
    </w:p>
    <w:p w14:paraId="37E464D9" w14:textId="77777777" w:rsidR="006C5BAF" w:rsidRDefault="00EA3C68">
      <w:r>
        <w:t xml:space="preserve">Zur externen Qualitätskontrolle ist eine regelmäßige Teilnahme an den jeweils angebotenen und vereinbarten Ringversuchen und Vergleichsuntersuchungen zwingend notwendig. Die bei Ringversuchen zu erreichenden Qualitätsziele richten sich nach Konzentrationen und Matrix und werden von der jeweiligen Planungsgruppe festgelegt. </w:t>
      </w:r>
    </w:p>
    <w:p w14:paraId="4FFDB166" w14:textId="77777777" w:rsidR="006C5BAF" w:rsidRDefault="006C5BAF">
      <w:pPr>
        <w:pStyle w:val="KeinLeerraum"/>
      </w:pPr>
    </w:p>
    <w:p w14:paraId="528B645B" w14:textId="77777777" w:rsidR="006C5BAF" w:rsidRDefault="006C5BAF">
      <w:pPr>
        <w:pStyle w:val="KeinLeerraum"/>
      </w:pPr>
    </w:p>
    <w:p w14:paraId="4895C9C7" w14:textId="77777777" w:rsidR="006C5BAF" w:rsidRDefault="00EA3C68">
      <w:pPr>
        <w:pStyle w:val="berschrift1"/>
        <w:ind w:left="567" w:hanging="567"/>
      </w:pPr>
      <w:r>
        <w:t>Literatur</w:t>
      </w:r>
    </w:p>
    <w:p w14:paraId="356AC583" w14:textId="77777777" w:rsidR="006C5BAF" w:rsidRDefault="00EA3C68">
      <w:pPr>
        <w:ind w:left="567" w:hanging="567"/>
      </w:pPr>
      <w:r>
        <w:t>[1]</w:t>
      </w:r>
      <w:r>
        <w:tab/>
        <w:t>DIN 32645; Chemische Analytik – Nachweis</w:t>
      </w:r>
      <w:r>
        <w:noBreakHyphen/>
        <w:t>, Erfassungs- und Bestimmungsgrenze unter Wiederholbedingungen – Begriffe, Verfahren, Auswertung, 2008-11</w:t>
      </w:r>
    </w:p>
    <w:p w14:paraId="5C2813D8" w14:textId="77777777" w:rsidR="006C5BAF" w:rsidRDefault="00EA3C68">
      <w:pPr>
        <w:ind w:left="567" w:hanging="567"/>
      </w:pPr>
      <w:r>
        <w:t>[2]</w:t>
      </w:r>
      <w:r>
        <w:tab/>
        <w:t>DIN EN ISO 10301 (F 4); Wasserbeschaffenheit – Bestimmung leichtflüchtiger halogenierter Kohlenwasserstoffe – Gaschromatographische Verfahren, 1997-08</w:t>
      </w:r>
    </w:p>
    <w:p w14:paraId="088E3CD5" w14:textId="77777777" w:rsidR="006C5BAF" w:rsidRDefault="00EA3C68">
      <w:pPr>
        <w:ind w:left="567" w:hanging="567"/>
      </w:pPr>
      <w:r>
        <w:t>[3]</w:t>
      </w:r>
      <w:r>
        <w:tab/>
        <w:t>DIN ISO 3696; Wasser für analytische Zwecke; Anforderungen und Prüfungen, 1991-06</w:t>
      </w:r>
    </w:p>
    <w:p w14:paraId="53C0786A" w14:textId="77777777" w:rsidR="006C5BAF" w:rsidRDefault="00EA3C68">
      <w:pPr>
        <w:ind w:left="567" w:hanging="567"/>
      </w:pPr>
      <w:r>
        <w:t>[4]</w:t>
      </w:r>
      <w:r>
        <w:tab/>
        <w:t>DIN EN 1484 (H 3); Wasseranalytik – Anleitungen zur Bestimmung des gesamten organischen Kohlenstoffs (TOC) und des gelösten organischen Kohlenstoffs (DOC), 2019-04; Deutsche Fassung EN 1484:1997</w:t>
      </w:r>
    </w:p>
    <w:p w14:paraId="19D86DD3" w14:textId="77777777" w:rsidR="006C5BAF" w:rsidRDefault="00EA3C68">
      <w:pPr>
        <w:ind w:left="567" w:hanging="567"/>
      </w:pPr>
      <w:r>
        <w:t>[5]</w:t>
      </w:r>
      <w:r>
        <w:tab/>
        <w:t>DIN 38 402-30 (A 30); Vorbehandlung, Homogenisierung und Teilung heterogener Wasserproben, 1998-07</w:t>
      </w:r>
    </w:p>
    <w:p w14:paraId="1EFA0009" w14:textId="79B74EED" w:rsidR="006C5BAF" w:rsidRDefault="00EA3C68">
      <w:pPr>
        <w:ind w:left="567" w:hanging="567"/>
      </w:pPr>
      <w:r>
        <w:t>[6]</w:t>
      </w:r>
      <w:r>
        <w:tab/>
        <w:t xml:space="preserve">DIN 38414-18 (S 18); </w:t>
      </w:r>
      <w:r>
        <w:rPr>
          <w:spacing w:val="-2"/>
        </w:rPr>
        <w:t>Bestimmung von adsorbierten, organisch gebundenen Halogenen in Schlamm und Sedimenten (AOX), 2019-06</w:t>
      </w:r>
    </w:p>
    <w:p w14:paraId="77E01E93" w14:textId="77777777" w:rsidR="006C5BAF" w:rsidRDefault="006C5BAF">
      <w:pPr>
        <w:ind w:left="567" w:hanging="567"/>
      </w:pPr>
    </w:p>
    <w:p w14:paraId="6C01EE47" w14:textId="77777777" w:rsidR="006C5BAF" w:rsidRDefault="006C5BAF">
      <w:pPr>
        <w:rPr>
          <w:rFonts w:cs="Arial"/>
        </w:rPr>
      </w:pPr>
    </w:p>
    <w:p w14:paraId="211F03D2" w14:textId="77777777" w:rsidR="006C5BAF" w:rsidRDefault="006C5BAF">
      <w:pPr>
        <w:sectPr w:rsidR="006C5BAF">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134" w:left="1418" w:header="283" w:footer="567" w:gutter="0"/>
          <w:pgNumType w:start="1"/>
          <w:cols w:space="708"/>
          <w:titlePg/>
          <w:docGrid w:linePitch="360"/>
        </w:sectPr>
      </w:pPr>
    </w:p>
    <w:p w14:paraId="3DE243AA" w14:textId="77777777" w:rsidR="006C5BAF" w:rsidRDefault="006C5BAF">
      <w:pPr>
        <w:spacing w:before="0"/>
      </w:pPr>
    </w:p>
    <w:p w14:paraId="2C4AA953" w14:textId="77777777" w:rsidR="006C5BAF" w:rsidRDefault="006C5BAF">
      <w:pPr>
        <w:spacing w:before="0"/>
      </w:pPr>
    </w:p>
    <w:tbl>
      <w:tblPr>
        <w:tblW w:w="5057" w:type="pct"/>
        <w:tblCellMar>
          <w:left w:w="70" w:type="dxa"/>
          <w:right w:w="70" w:type="dxa"/>
        </w:tblCellMar>
        <w:tblLook w:val="04A0" w:firstRow="1" w:lastRow="0" w:firstColumn="1" w:lastColumn="0" w:noHBand="0" w:noVBand="1"/>
      </w:tblPr>
      <w:tblGrid>
        <w:gridCol w:w="3104"/>
        <w:gridCol w:w="2114"/>
        <w:gridCol w:w="2255"/>
        <w:gridCol w:w="2860"/>
        <w:gridCol w:w="3798"/>
      </w:tblGrid>
      <w:tr w:rsidR="006C5BAF" w14:paraId="0AD63E91" w14:textId="77777777">
        <w:trPr>
          <w:trHeight w:val="747"/>
        </w:trPr>
        <w:tc>
          <w:tcPr>
            <w:tcW w:w="1098"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474EA374" w14:textId="77777777" w:rsidR="006C5BAF" w:rsidRDefault="00EA3C68">
            <w:pPr>
              <w:spacing w:before="0"/>
              <w:jc w:val="center"/>
              <w:rPr>
                <w:rFonts w:eastAsia="Times New Roman"/>
                <w:b/>
                <w:bCs/>
                <w:color w:val="000000"/>
                <w:sz w:val="20"/>
                <w:szCs w:val="20"/>
                <w:lang w:eastAsia="de-DE"/>
              </w:rPr>
            </w:pPr>
            <w:r>
              <w:rPr>
                <w:rFonts w:eastAsia="Times New Roman"/>
                <w:b/>
                <w:bCs/>
                <w:color w:val="000000"/>
                <w:sz w:val="20"/>
                <w:szCs w:val="20"/>
                <w:lang w:eastAsia="de-DE"/>
              </w:rPr>
              <w:t>AQK-Maßnahme</w:t>
            </w:r>
          </w:p>
        </w:tc>
        <w:tc>
          <w:tcPr>
            <w:tcW w:w="748" w:type="pct"/>
            <w:tcBorders>
              <w:top w:val="single" w:sz="12" w:space="0" w:color="auto"/>
              <w:left w:val="nil"/>
              <w:bottom w:val="single" w:sz="12" w:space="0" w:color="auto"/>
              <w:right w:val="single" w:sz="12" w:space="0" w:color="auto"/>
            </w:tcBorders>
            <w:shd w:val="clear" w:color="auto" w:fill="auto"/>
            <w:vAlign w:val="center"/>
            <w:hideMark/>
          </w:tcPr>
          <w:p w14:paraId="2EE16BDD" w14:textId="77777777" w:rsidR="006C5BAF" w:rsidRDefault="00EA3C68">
            <w:pPr>
              <w:spacing w:before="0"/>
              <w:jc w:val="center"/>
              <w:rPr>
                <w:rFonts w:eastAsia="Times New Roman"/>
                <w:b/>
                <w:bCs/>
                <w:color w:val="000000"/>
                <w:sz w:val="20"/>
                <w:szCs w:val="20"/>
                <w:lang w:eastAsia="de-DE"/>
              </w:rPr>
            </w:pPr>
            <w:r>
              <w:rPr>
                <w:rFonts w:eastAsia="Times New Roman"/>
                <w:b/>
                <w:bCs/>
                <w:color w:val="000000"/>
                <w:sz w:val="20"/>
                <w:szCs w:val="20"/>
                <w:lang w:eastAsia="de-DE"/>
              </w:rPr>
              <w:t>Medium</w:t>
            </w:r>
          </w:p>
        </w:tc>
        <w:tc>
          <w:tcPr>
            <w:tcW w:w="798" w:type="pct"/>
            <w:tcBorders>
              <w:top w:val="single" w:sz="12" w:space="0" w:color="auto"/>
              <w:left w:val="nil"/>
              <w:bottom w:val="single" w:sz="12" w:space="0" w:color="auto"/>
              <w:right w:val="single" w:sz="12" w:space="0" w:color="auto"/>
            </w:tcBorders>
            <w:shd w:val="clear" w:color="auto" w:fill="auto"/>
            <w:vAlign w:val="center"/>
            <w:hideMark/>
          </w:tcPr>
          <w:p w14:paraId="18F3C525" w14:textId="77777777" w:rsidR="006C5BAF" w:rsidRDefault="00EA3C68">
            <w:pPr>
              <w:spacing w:before="0"/>
              <w:jc w:val="center"/>
              <w:rPr>
                <w:rFonts w:eastAsia="Times New Roman"/>
                <w:b/>
                <w:bCs/>
                <w:color w:val="000000"/>
                <w:sz w:val="20"/>
                <w:szCs w:val="20"/>
                <w:lang w:eastAsia="de-DE"/>
              </w:rPr>
            </w:pPr>
            <w:r>
              <w:rPr>
                <w:rFonts w:eastAsia="Times New Roman"/>
                <w:b/>
                <w:bCs/>
                <w:color w:val="000000"/>
                <w:sz w:val="20"/>
                <w:szCs w:val="20"/>
                <w:lang w:eastAsia="de-DE"/>
              </w:rPr>
              <w:t>Häufigkeit</w:t>
            </w:r>
          </w:p>
        </w:tc>
        <w:tc>
          <w:tcPr>
            <w:tcW w:w="1012" w:type="pct"/>
            <w:tcBorders>
              <w:top w:val="single" w:sz="12" w:space="0" w:color="auto"/>
              <w:left w:val="nil"/>
              <w:bottom w:val="single" w:sz="12" w:space="0" w:color="auto"/>
              <w:right w:val="single" w:sz="12" w:space="0" w:color="auto"/>
            </w:tcBorders>
            <w:shd w:val="clear" w:color="auto" w:fill="auto"/>
            <w:vAlign w:val="center"/>
            <w:hideMark/>
          </w:tcPr>
          <w:p w14:paraId="5ADED755" w14:textId="77777777" w:rsidR="006C5BAF" w:rsidRDefault="00EA3C68">
            <w:pPr>
              <w:spacing w:before="0"/>
              <w:jc w:val="center"/>
              <w:rPr>
                <w:rFonts w:eastAsia="Times New Roman"/>
                <w:b/>
                <w:bCs/>
                <w:color w:val="000000"/>
                <w:sz w:val="20"/>
                <w:szCs w:val="20"/>
                <w:lang w:eastAsia="de-DE"/>
              </w:rPr>
            </w:pPr>
            <w:r>
              <w:rPr>
                <w:rFonts w:eastAsia="Times New Roman"/>
                <w:b/>
                <w:bCs/>
                <w:color w:val="000000"/>
                <w:sz w:val="20"/>
                <w:szCs w:val="20"/>
                <w:lang w:eastAsia="de-DE"/>
              </w:rPr>
              <w:t>Qualitätsanforderungen</w:t>
            </w:r>
          </w:p>
        </w:tc>
        <w:tc>
          <w:tcPr>
            <w:tcW w:w="1346" w:type="pct"/>
            <w:tcBorders>
              <w:top w:val="single" w:sz="12" w:space="0" w:color="auto"/>
              <w:left w:val="nil"/>
              <w:bottom w:val="single" w:sz="12" w:space="0" w:color="auto"/>
              <w:right w:val="single" w:sz="12" w:space="0" w:color="auto"/>
            </w:tcBorders>
            <w:shd w:val="clear" w:color="auto" w:fill="auto"/>
            <w:vAlign w:val="center"/>
            <w:hideMark/>
          </w:tcPr>
          <w:p w14:paraId="31F7CF3E" w14:textId="77777777" w:rsidR="006C5BAF" w:rsidRDefault="00EA3C68">
            <w:pPr>
              <w:spacing w:before="0"/>
              <w:jc w:val="center"/>
              <w:rPr>
                <w:rFonts w:eastAsia="Times New Roman"/>
                <w:b/>
                <w:bCs/>
                <w:color w:val="000000"/>
                <w:sz w:val="20"/>
                <w:szCs w:val="20"/>
                <w:lang w:eastAsia="de-DE"/>
              </w:rPr>
            </w:pPr>
            <w:r>
              <w:rPr>
                <w:rFonts w:eastAsia="Times New Roman"/>
                <w:b/>
                <w:bCs/>
                <w:color w:val="000000"/>
                <w:sz w:val="20"/>
                <w:szCs w:val="20"/>
                <w:lang w:eastAsia="de-DE"/>
              </w:rPr>
              <w:t>Bemerkungen</w:t>
            </w:r>
          </w:p>
        </w:tc>
      </w:tr>
      <w:tr w:rsidR="006C5BAF" w14:paraId="3EF2E977" w14:textId="77777777">
        <w:trPr>
          <w:trHeight w:val="810"/>
        </w:trPr>
        <w:tc>
          <w:tcPr>
            <w:tcW w:w="1098" w:type="pct"/>
            <w:tcBorders>
              <w:top w:val="single" w:sz="12" w:space="0" w:color="auto"/>
              <w:left w:val="single" w:sz="8" w:space="0" w:color="auto"/>
              <w:bottom w:val="single" w:sz="8" w:space="0" w:color="auto"/>
              <w:right w:val="single" w:sz="8" w:space="0" w:color="auto"/>
            </w:tcBorders>
            <w:shd w:val="clear" w:color="auto" w:fill="auto"/>
            <w:hideMark/>
          </w:tcPr>
          <w:p w14:paraId="582AE743" w14:textId="53464299" w:rsidR="006C5BAF" w:rsidRDefault="00EA3C68" w:rsidP="00164C64">
            <w:pPr>
              <w:spacing w:before="60" w:after="60"/>
              <w:rPr>
                <w:rFonts w:eastAsia="Times New Roman"/>
                <w:color w:val="000000"/>
                <w:sz w:val="20"/>
                <w:szCs w:val="20"/>
                <w:lang w:eastAsia="de-DE"/>
              </w:rPr>
            </w:pPr>
            <w:r>
              <w:rPr>
                <w:sz w:val="20"/>
                <w:szCs w:val="20"/>
              </w:rPr>
              <w:t>aktuelle Stromausbeute</w:t>
            </w:r>
            <w:r w:rsidR="00164C64">
              <w:rPr>
                <w:sz w:val="20"/>
                <w:szCs w:val="20"/>
              </w:rPr>
              <w:t xml:space="preserve"> des </w:t>
            </w:r>
            <w:proofErr w:type="spellStart"/>
            <w:r w:rsidR="00164C64">
              <w:rPr>
                <w:sz w:val="20"/>
                <w:szCs w:val="20"/>
              </w:rPr>
              <w:t>Mikrocoulometers</w:t>
            </w:r>
            <w:proofErr w:type="spellEnd"/>
            <w:r w:rsidR="00164C64">
              <w:rPr>
                <w:sz w:val="20"/>
                <w:szCs w:val="20"/>
              </w:rPr>
              <w:t xml:space="preserve"> bestimmen</w:t>
            </w:r>
          </w:p>
        </w:tc>
        <w:tc>
          <w:tcPr>
            <w:tcW w:w="748" w:type="pct"/>
            <w:tcBorders>
              <w:top w:val="single" w:sz="12" w:space="0" w:color="auto"/>
              <w:left w:val="nil"/>
              <w:bottom w:val="single" w:sz="8" w:space="0" w:color="auto"/>
              <w:right w:val="single" w:sz="8" w:space="0" w:color="auto"/>
            </w:tcBorders>
            <w:shd w:val="clear" w:color="auto" w:fill="auto"/>
          </w:tcPr>
          <w:p w14:paraId="00F6E417" w14:textId="77777777" w:rsidR="006C5BAF" w:rsidRDefault="00EA3C68">
            <w:pPr>
              <w:spacing w:before="60" w:after="60"/>
              <w:rPr>
                <w:rFonts w:eastAsia="Times New Roman"/>
                <w:color w:val="000000"/>
                <w:sz w:val="20"/>
                <w:szCs w:val="20"/>
                <w:lang w:eastAsia="de-DE"/>
              </w:rPr>
            </w:pPr>
            <w:r>
              <w:rPr>
                <w:rFonts w:eastAsia="Times New Roman"/>
                <w:color w:val="000000"/>
                <w:sz w:val="20"/>
                <w:szCs w:val="20"/>
                <w:lang w:eastAsia="de-DE"/>
              </w:rPr>
              <w:t>HCl-Lösung</w:t>
            </w:r>
          </w:p>
        </w:tc>
        <w:tc>
          <w:tcPr>
            <w:tcW w:w="798" w:type="pct"/>
            <w:tcBorders>
              <w:top w:val="single" w:sz="12" w:space="0" w:color="auto"/>
              <w:left w:val="nil"/>
              <w:bottom w:val="single" w:sz="8" w:space="0" w:color="auto"/>
              <w:right w:val="single" w:sz="8" w:space="0" w:color="auto"/>
            </w:tcBorders>
            <w:shd w:val="clear" w:color="auto" w:fill="auto"/>
          </w:tcPr>
          <w:p w14:paraId="1A98E54E" w14:textId="77777777" w:rsidR="006C5BAF" w:rsidRDefault="00EA3C68">
            <w:pPr>
              <w:spacing w:before="60" w:after="60"/>
              <w:rPr>
                <w:rFonts w:eastAsia="Times New Roman"/>
                <w:color w:val="000000"/>
                <w:sz w:val="20"/>
                <w:szCs w:val="20"/>
                <w:lang w:eastAsia="de-DE"/>
              </w:rPr>
            </w:pPr>
            <w:r>
              <w:rPr>
                <w:rFonts w:eastAsia="Times New Roman"/>
                <w:color w:val="000000"/>
                <w:sz w:val="20"/>
                <w:szCs w:val="20"/>
                <w:lang w:eastAsia="de-DE"/>
              </w:rPr>
              <w:t>arbeitstäglich</w:t>
            </w:r>
          </w:p>
        </w:tc>
        <w:tc>
          <w:tcPr>
            <w:tcW w:w="1012" w:type="pct"/>
            <w:tcBorders>
              <w:top w:val="single" w:sz="12" w:space="0" w:color="auto"/>
              <w:left w:val="nil"/>
              <w:bottom w:val="single" w:sz="8" w:space="0" w:color="auto"/>
              <w:right w:val="single" w:sz="8" w:space="0" w:color="auto"/>
            </w:tcBorders>
            <w:shd w:val="clear" w:color="auto" w:fill="auto"/>
          </w:tcPr>
          <w:p w14:paraId="76A1957C" w14:textId="2650AEB8" w:rsidR="006C5BAF" w:rsidRPr="00EA3C68" w:rsidRDefault="00EA3C68">
            <w:pPr>
              <w:spacing w:before="60" w:after="60"/>
              <w:rPr>
                <w:rFonts w:eastAsia="Times New Roman"/>
                <w:color w:val="000000"/>
                <w:sz w:val="20"/>
                <w:szCs w:val="20"/>
                <w:highlight w:val="yellow"/>
                <w:lang w:eastAsia="de-DE"/>
              </w:rPr>
            </w:pPr>
            <w:r w:rsidRPr="00EA3C68">
              <w:rPr>
                <w:rFonts w:eastAsia="Times New Roman"/>
                <w:color w:val="000000"/>
                <w:sz w:val="20"/>
                <w:szCs w:val="20"/>
                <w:lang w:eastAsia="de-DE"/>
              </w:rPr>
              <w:t>97% ≤ Stromausbeute ≤ 103%</w:t>
            </w:r>
          </w:p>
        </w:tc>
        <w:tc>
          <w:tcPr>
            <w:tcW w:w="1346" w:type="pct"/>
            <w:tcBorders>
              <w:top w:val="single" w:sz="12" w:space="0" w:color="auto"/>
              <w:left w:val="nil"/>
              <w:bottom w:val="single" w:sz="8" w:space="0" w:color="auto"/>
              <w:right w:val="single" w:sz="8" w:space="0" w:color="auto"/>
            </w:tcBorders>
            <w:shd w:val="clear" w:color="auto" w:fill="auto"/>
          </w:tcPr>
          <w:p w14:paraId="2FF0AB93" w14:textId="52E34BD1" w:rsidR="006C5BAF" w:rsidRDefault="00EA3C68" w:rsidP="00EA3C68">
            <w:pPr>
              <w:spacing w:before="60" w:after="60"/>
              <w:rPr>
                <w:rFonts w:eastAsia="Arial"/>
                <w:color w:val="000000"/>
                <w:sz w:val="20"/>
                <w:szCs w:val="20"/>
                <w:lang w:eastAsia="de-DE"/>
              </w:rPr>
            </w:pPr>
            <w:r>
              <w:rPr>
                <w:rFonts w:eastAsia="Arial"/>
                <w:color w:val="000000"/>
                <w:sz w:val="20"/>
                <w:szCs w:val="20"/>
                <w:lang w:eastAsia="de-DE"/>
              </w:rPr>
              <w:t>Vorgegeben durch DIN EN ISO 9562 (H 14), Abschnitt 9.5.1</w:t>
            </w:r>
          </w:p>
        </w:tc>
      </w:tr>
      <w:tr w:rsidR="006C5BAF" w14:paraId="364F58E1" w14:textId="77777777">
        <w:trPr>
          <w:trHeight w:val="691"/>
        </w:trPr>
        <w:tc>
          <w:tcPr>
            <w:tcW w:w="1098" w:type="pct"/>
            <w:tcBorders>
              <w:top w:val="single" w:sz="8" w:space="0" w:color="auto"/>
              <w:left w:val="single" w:sz="8" w:space="0" w:color="auto"/>
              <w:bottom w:val="single" w:sz="8" w:space="0" w:color="auto"/>
              <w:right w:val="single" w:sz="8" w:space="0" w:color="auto"/>
            </w:tcBorders>
            <w:shd w:val="clear" w:color="auto" w:fill="auto"/>
          </w:tcPr>
          <w:p w14:paraId="07F34384" w14:textId="115E48E2" w:rsidR="006C5BAF" w:rsidRDefault="00EA3C68">
            <w:pPr>
              <w:spacing w:before="60" w:after="60"/>
              <w:rPr>
                <w:rFonts w:eastAsia="Times New Roman"/>
                <w:color w:val="000000"/>
                <w:sz w:val="20"/>
                <w:szCs w:val="20"/>
                <w:lang w:eastAsia="de-DE"/>
              </w:rPr>
            </w:pPr>
            <w:r>
              <w:rPr>
                <w:sz w:val="20"/>
                <w:szCs w:val="20"/>
              </w:rPr>
              <w:t>Basisprüfung</w:t>
            </w:r>
            <w:r>
              <w:rPr>
                <w:rFonts w:eastAsia="Times New Roman"/>
                <w:color w:val="000000"/>
                <w:sz w:val="20"/>
                <w:szCs w:val="20"/>
                <w:lang w:eastAsia="de-DE"/>
              </w:rPr>
              <w:t xml:space="preserve"> des Gesamtverfahrens: </w:t>
            </w:r>
            <w:r w:rsidR="00E40C8B">
              <w:rPr>
                <w:rFonts w:eastAsia="Times New Roman"/>
                <w:color w:val="000000"/>
                <w:sz w:val="20"/>
                <w:szCs w:val="20"/>
                <w:lang w:eastAsia="de-DE"/>
              </w:rPr>
              <w:t xml:space="preserve">Mindestens </w:t>
            </w:r>
            <w:r>
              <w:rPr>
                <w:rFonts w:eastAsia="Times New Roman"/>
                <w:color w:val="000000"/>
                <w:sz w:val="20"/>
                <w:szCs w:val="20"/>
                <w:lang w:eastAsia="de-DE"/>
              </w:rPr>
              <w:t>5 Standards messen und Ergebnisse gegen nominelle Werte korrelieren</w:t>
            </w:r>
          </w:p>
        </w:tc>
        <w:tc>
          <w:tcPr>
            <w:tcW w:w="748" w:type="pct"/>
            <w:tcBorders>
              <w:top w:val="single" w:sz="8" w:space="0" w:color="auto"/>
              <w:left w:val="nil"/>
              <w:bottom w:val="single" w:sz="8" w:space="0" w:color="auto"/>
              <w:right w:val="single" w:sz="8" w:space="0" w:color="auto"/>
            </w:tcBorders>
            <w:shd w:val="clear" w:color="auto" w:fill="auto"/>
          </w:tcPr>
          <w:p w14:paraId="19976F2C" w14:textId="6C78B6B4" w:rsidR="006C5BAF" w:rsidRDefault="00EA3C68">
            <w:pPr>
              <w:spacing w:before="60" w:after="60"/>
              <w:rPr>
                <w:rFonts w:eastAsia="Times New Roman"/>
                <w:color w:val="000000"/>
                <w:sz w:val="20"/>
                <w:szCs w:val="20"/>
                <w:lang w:eastAsia="de-DE"/>
              </w:rPr>
            </w:pPr>
            <w:r>
              <w:rPr>
                <w:rFonts w:eastAsia="Times New Roman"/>
                <w:color w:val="000000"/>
                <w:sz w:val="20"/>
                <w:szCs w:val="20"/>
                <w:lang w:eastAsia="de-DE"/>
              </w:rPr>
              <w:t>p-Chlorphenol</w:t>
            </w:r>
          </w:p>
        </w:tc>
        <w:tc>
          <w:tcPr>
            <w:tcW w:w="798" w:type="pct"/>
            <w:tcBorders>
              <w:top w:val="single" w:sz="8" w:space="0" w:color="auto"/>
              <w:left w:val="nil"/>
              <w:bottom w:val="single" w:sz="8" w:space="0" w:color="auto"/>
              <w:right w:val="single" w:sz="8" w:space="0" w:color="auto"/>
            </w:tcBorders>
            <w:shd w:val="clear" w:color="auto" w:fill="auto"/>
          </w:tcPr>
          <w:p w14:paraId="6190B323" w14:textId="77777777" w:rsidR="006C5BAF" w:rsidRDefault="00EA3C68">
            <w:pPr>
              <w:spacing w:before="60" w:after="60"/>
              <w:rPr>
                <w:rFonts w:eastAsia="Arial"/>
                <w:color w:val="000000"/>
                <w:sz w:val="20"/>
                <w:szCs w:val="20"/>
                <w:lang w:eastAsia="de-DE"/>
              </w:rPr>
            </w:pPr>
            <w:r>
              <w:rPr>
                <w:rFonts w:eastAsia="Arial"/>
                <w:color w:val="000000"/>
                <w:sz w:val="20"/>
                <w:szCs w:val="20"/>
                <w:lang w:eastAsia="de-DE"/>
              </w:rPr>
              <w:t>bei Bedarf</w:t>
            </w:r>
          </w:p>
        </w:tc>
        <w:tc>
          <w:tcPr>
            <w:tcW w:w="1012" w:type="pct"/>
            <w:tcBorders>
              <w:top w:val="single" w:sz="8" w:space="0" w:color="auto"/>
              <w:left w:val="nil"/>
              <w:bottom w:val="single" w:sz="8" w:space="0" w:color="auto"/>
              <w:right w:val="single" w:sz="8" w:space="0" w:color="auto"/>
            </w:tcBorders>
            <w:shd w:val="clear" w:color="auto" w:fill="auto"/>
          </w:tcPr>
          <w:p w14:paraId="073542D9" w14:textId="77777777" w:rsidR="006C5BAF" w:rsidRDefault="00EA3C68">
            <w:pPr>
              <w:spacing w:before="60" w:after="60"/>
              <w:ind w:left="216" w:hanging="216"/>
              <w:rPr>
                <w:rFonts w:eastAsia="Times New Roman"/>
                <w:color w:val="000000"/>
                <w:sz w:val="20"/>
                <w:szCs w:val="20"/>
                <w:lang w:eastAsia="de-DE"/>
              </w:rPr>
            </w:pPr>
            <w:r>
              <w:rPr>
                <w:rFonts w:eastAsia="Times New Roman"/>
                <w:color w:val="000000"/>
                <w:sz w:val="20"/>
                <w:szCs w:val="20"/>
                <w:lang w:eastAsia="de-DE"/>
              </w:rPr>
              <w:t>1.</w:t>
            </w:r>
            <w:r>
              <w:rPr>
                <w:rFonts w:eastAsia="Times New Roman"/>
                <w:color w:val="000000"/>
                <w:sz w:val="20"/>
                <w:szCs w:val="20"/>
                <w:lang w:eastAsia="de-DE"/>
              </w:rPr>
              <w:tab/>
              <w:t>r</w:t>
            </w:r>
            <w:r>
              <w:rPr>
                <w:rFonts w:eastAsia="Times New Roman"/>
                <w:color w:val="000000"/>
                <w:sz w:val="20"/>
                <w:szCs w:val="20"/>
                <w:vertAlign w:val="superscript"/>
                <w:lang w:eastAsia="de-DE"/>
              </w:rPr>
              <w:t>2</w:t>
            </w:r>
            <w:r>
              <w:rPr>
                <w:rFonts w:eastAsia="Times New Roman"/>
                <w:color w:val="000000"/>
                <w:sz w:val="20"/>
                <w:szCs w:val="20"/>
                <w:lang w:eastAsia="de-DE"/>
              </w:rPr>
              <w:t xml:space="preserve"> ≥ 0,999 oder V</w:t>
            </w:r>
            <w:r>
              <w:rPr>
                <w:rFonts w:eastAsia="Times New Roman"/>
                <w:color w:val="000000"/>
                <w:sz w:val="20"/>
                <w:szCs w:val="20"/>
                <w:vertAlign w:val="subscript"/>
                <w:lang w:eastAsia="de-DE"/>
              </w:rPr>
              <w:t>X0</w:t>
            </w:r>
            <w:r>
              <w:rPr>
                <w:rFonts w:eastAsia="Times New Roman"/>
                <w:color w:val="000000"/>
                <w:sz w:val="20"/>
                <w:szCs w:val="20"/>
                <w:lang w:eastAsia="de-DE"/>
              </w:rPr>
              <w:t xml:space="preserve"> ≤ 3,33 %</w:t>
            </w:r>
          </w:p>
          <w:p w14:paraId="21523F59" w14:textId="77777777" w:rsidR="006C5BAF" w:rsidRDefault="00EA3C68">
            <w:pPr>
              <w:spacing w:before="60" w:after="60"/>
              <w:ind w:left="216" w:hanging="216"/>
              <w:rPr>
                <w:rFonts w:eastAsia="Times New Roman"/>
                <w:color w:val="000000"/>
                <w:sz w:val="20"/>
                <w:szCs w:val="20"/>
                <w:lang w:eastAsia="de-DE"/>
              </w:rPr>
            </w:pPr>
            <w:r>
              <w:rPr>
                <w:rFonts w:eastAsia="Times New Roman"/>
                <w:color w:val="000000"/>
                <w:sz w:val="20"/>
                <w:szCs w:val="20"/>
                <w:lang w:eastAsia="de-DE"/>
              </w:rPr>
              <w:t>2.</w:t>
            </w:r>
            <w:r>
              <w:rPr>
                <w:rFonts w:eastAsia="Times New Roman"/>
                <w:color w:val="000000"/>
                <w:sz w:val="20"/>
                <w:szCs w:val="20"/>
                <w:lang w:eastAsia="de-DE"/>
              </w:rPr>
              <w:tab/>
              <w:t>Steigung der Korrelationsgeraden zwischen 0,95 und 1,05</w:t>
            </w:r>
          </w:p>
        </w:tc>
        <w:tc>
          <w:tcPr>
            <w:tcW w:w="1346" w:type="pct"/>
            <w:tcBorders>
              <w:top w:val="single" w:sz="8" w:space="0" w:color="auto"/>
              <w:left w:val="nil"/>
              <w:bottom w:val="single" w:sz="8" w:space="0" w:color="auto"/>
              <w:right w:val="single" w:sz="8" w:space="0" w:color="auto"/>
            </w:tcBorders>
            <w:shd w:val="clear" w:color="auto" w:fill="auto"/>
          </w:tcPr>
          <w:p w14:paraId="6B54FBDE" w14:textId="1E809A3B" w:rsidR="006C5BAF" w:rsidRDefault="00EA3C68" w:rsidP="00EA3C68">
            <w:pPr>
              <w:spacing w:before="60" w:after="60"/>
              <w:ind w:left="6"/>
              <w:rPr>
                <w:rFonts w:eastAsia="Arial"/>
                <w:color w:val="000000"/>
                <w:sz w:val="20"/>
                <w:szCs w:val="20"/>
                <w:lang w:eastAsia="de-DE"/>
              </w:rPr>
            </w:pPr>
            <w:r>
              <w:rPr>
                <w:rFonts w:eastAsia="Arial"/>
                <w:color w:val="000000"/>
                <w:sz w:val="20"/>
                <w:szCs w:val="20"/>
                <w:lang w:eastAsia="de-DE"/>
              </w:rPr>
              <w:t>Vorgegeben durch DIN EN ISO 9562 (H 14), Abschnitt 9.5.2.2</w:t>
            </w:r>
          </w:p>
        </w:tc>
      </w:tr>
      <w:tr w:rsidR="006C5BAF" w14:paraId="433F801F" w14:textId="77777777">
        <w:trPr>
          <w:trHeight w:val="560"/>
        </w:trPr>
        <w:tc>
          <w:tcPr>
            <w:tcW w:w="1098" w:type="pct"/>
            <w:tcBorders>
              <w:top w:val="single" w:sz="8" w:space="0" w:color="auto"/>
              <w:left w:val="single" w:sz="8" w:space="0" w:color="auto"/>
              <w:bottom w:val="single" w:sz="8" w:space="0" w:color="auto"/>
              <w:right w:val="single" w:sz="8" w:space="0" w:color="auto"/>
            </w:tcBorders>
            <w:shd w:val="clear" w:color="auto" w:fill="auto"/>
          </w:tcPr>
          <w:p w14:paraId="41626C45" w14:textId="391DC03C" w:rsidR="006C5BAF" w:rsidRDefault="00EA3C68">
            <w:pPr>
              <w:spacing w:before="60" w:after="60"/>
              <w:rPr>
                <w:rFonts w:eastAsia="Times New Roman"/>
                <w:color w:val="000000"/>
                <w:sz w:val="20"/>
                <w:szCs w:val="20"/>
                <w:lang w:eastAsia="de-DE"/>
              </w:rPr>
            </w:pPr>
            <w:r>
              <w:rPr>
                <w:rFonts w:eastAsia="Times New Roman"/>
                <w:color w:val="000000"/>
                <w:sz w:val="20"/>
                <w:szCs w:val="20"/>
                <w:lang w:eastAsia="de-DE"/>
              </w:rPr>
              <w:t>Blindwertzielkarte</w:t>
            </w:r>
          </w:p>
        </w:tc>
        <w:tc>
          <w:tcPr>
            <w:tcW w:w="748" w:type="pct"/>
            <w:tcBorders>
              <w:top w:val="single" w:sz="8" w:space="0" w:color="auto"/>
              <w:left w:val="nil"/>
              <w:bottom w:val="single" w:sz="8" w:space="0" w:color="auto"/>
              <w:right w:val="single" w:sz="8" w:space="0" w:color="auto"/>
            </w:tcBorders>
            <w:shd w:val="clear" w:color="auto" w:fill="auto"/>
          </w:tcPr>
          <w:p w14:paraId="77E06FC0" w14:textId="77777777" w:rsidR="006C5BAF" w:rsidRDefault="00EA3C68">
            <w:pPr>
              <w:spacing w:before="60" w:after="60"/>
              <w:rPr>
                <w:rFonts w:eastAsia="Times New Roman"/>
                <w:color w:val="000000"/>
                <w:sz w:val="20"/>
                <w:szCs w:val="20"/>
                <w:lang w:eastAsia="de-DE"/>
              </w:rPr>
            </w:pPr>
            <w:r>
              <w:rPr>
                <w:rFonts w:eastAsia="Times New Roman"/>
                <w:color w:val="000000"/>
                <w:sz w:val="20"/>
                <w:szCs w:val="20"/>
                <w:lang w:eastAsia="de-DE"/>
              </w:rPr>
              <w:t xml:space="preserve">Wasser, </w:t>
            </w:r>
            <w:proofErr w:type="spellStart"/>
            <w:r>
              <w:rPr>
                <w:rFonts w:eastAsia="Times New Roman"/>
                <w:color w:val="000000"/>
                <w:sz w:val="20"/>
                <w:szCs w:val="20"/>
                <w:lang w:eastAsia="de-DE"/>
              </w:rPr>
              <w:t>reinst</w:t>
            </w:r>
            <w:proofErr w:type="spellEnd"/>
          </w:p>
        </w:tc>
        <w:tc>
          <w:tcPr>
            <w:tcW w:w="798" w:type="pct"/>
            <w:tcBorders>
              <w:top w:val="single" w:sz="8" w:space="0" w:color="auto"/>
              <w:left w:val="nil"/>
              <w:bottom w:val="single" w:sz="8" w:space="0" w:color="auto"/>
              <w:right w:val="single" w:sz="8" w:space="0" w:color="auto"/>
            </w:tcBorders>
            <w:shd w:val="clear" w:color="auto" w:fill="auto"/>
          </w:tcPr>
          <w:p w14:paraId="782C0D09" w14:textId="77777777" w:rsidR="006C5BAF" w:rsidRDefault="00EA3C68">
            <w:pPr>
              <w:spacing w:before="60" w:after="60"/>
              <w:rPr>
                <w:rFonts w:eastAsia="Arial"/>
                <w:color w:val="000000"/>
                <w:sz w:val="20"/>
                <w:szCs w:val="20"/>
                <w:lang w:eastAsia="de-DE"/>
              </w:rPr>
            </w:pPr>
            <w:r>
              <w:rPr>
                <w:rFonts w:eastAsia="Arial"/>
                <w:color w:val="000000"/>
                <w:sz w:val="20"/>
                <w:szCs w:val="20"/>
                <w:lang w:eastAsia="de-DE"/>
              </w:rPr>
              <w:t>arbeitstäglich</w:t>
            </w:r>
          </w:p>
        </w:tc>
        <w:tc>
          <w:tcPr>
            <w:tcW w:w="1012" w:type="pct"/>
            <w:tcBorders>
              <w:top w:val="single" w:sz="8" w:space="0" w:color="auto"/>
              <w:left w:val="nil"/>
              <w:bottom w:val="single" w:sz="8" w:space="0" w:color="auto"/>
              <w:right w:val="single" w:sz="8" w:space="0" w:color="auto"/>
            </w:tcBorders>
            <w:shd w:val="clear" w:color="auto" w:fill="auto"/>
          </w:tcPr>
          <w:p w14:paraId="4CFD0EE0" w14:textId="03A2B7AB" w:rsidR="006C5BAF" w:rsidRDefault="00E40C8B">
            <w:pPr>
              <w:spacing w:before="60" w:after="60"/>
              <w:ind w:left="8"/>
              <w:rPr>
                <w:rFonts w:eastAsia="Arial"/>
                <w:color w:val="000000"/>
                <w:sz w:val="20"/>
                <w:szCs w:val="20"/>
                <w:lang w:eastAsia="de-DE"/>
              </w:rPr>
            </w:pPr>
            <w:r>
              <w:rPr>
                <w:rFonts w:eastAsia="Arial"/>
                <w:color w:val="000000"/>
                <w:sz w:val="20"/>
                <w:szCs w:val="20"/>
                <w:lang w:eastAsia="de-DE"/>
              </w:rPr>
              <w:t>Gesamtblindwert</w:t>
            </w:r>
          </w:p>
          <w:p w14:paraId="233083EA" w14:textId="77777777" w:rsidR="006C5BAF" w:rsidRDefault="00EA3C68">
            <w:pPr>
              <w:spacing w:before="60" w:after="60"/>
              <w:ind w:left="8"/>
              <w:rPr>
                <w:rFonts w:eastAsia="Arial"/>
                <w:color w:val="000000"/>
                <w:sz w:val="20"/>
                <w:szCs w:val="20"/>
                <w:lang w:eastAsia="de-DE"/>
              </w:rPr>
            </w:pPr>
            <w:r>
              <w:rPr>
                <w:rFonts w:eastAsia="Arial"/>
                <w:color w:val="000000"/>
                <w:sz w:val="20"/>
                <w:szCs w:val="20"/>
                <w:lang w:eastAsia="de-DE"/>
              </w:rPr>
              <w:t>AO = 15 µg/l</w:t>
            </w:r>
          </w:p>
        </w:tc>
        <w:tc>
          <w:tcPr>
            <w:tcW w:w="1346" w:type="pct"/>
            <w:tcBorders>
              <w:top w:val="single" w:sz="8" w:space="0" w:color="auto"/>
              <w:left w:val="nil"/>
              <w:bottom w:val="single" w:sz="8" w:space="0" w:color="auto"/>
              <w:right w:val="single" w:sz="8" w:space="0" w:color="auto"/>
            </w:tcBorders>
            <w:shd w:val="clear" w:color="auto" w:fill="auto"/>
          </w:tcPr>
          <w:p w14:paraId="17416800" w14:textId="4A38E402" w:rsidR="006C5BAF" w:rsidRDefault="00EA3C68" w:rsidP="00EA3C68">
            <w:pPr>
              <w:spacing w:before="60" w:after="60"/>
              <w:rPr>
                <w:rFonts w:eastAsia="Times New Roman"/>
                <w:color w:val="000000"/>
                <w:sz w:val="20"/>
                <w:szCs w:val="20"/>
                <w:lang w:eastAsia="de-DE"/>
              </w:rPr>
            </w:pPr>
            <w:r>
              <w:rPr>
                <w:rFonts w:eastAsia="Times New Roman"/>
                <w:color w:val="000000"/>
                <w:sz w:val="20"/>
                <w:szCs w:val="20"/>
                <w:lang w:eastAsia="de-DE"/>
              </w:rPr>
              <w:t xml:space="preserve">Das Messen des Blindwertes ist vorgegeben durch DIN EN ISO 9562 (H 14), </w:t>
            </w:r>
            <w:r>
              <w:rPr>
                <w:rFonts w:eastAsia="Times New Roman"/>
                <w:sz w:val="20"/>
                <w:szCs w:val="20"/>
                <w:lang w:eastAsia="de-DE"/>
              </w:rPr>
              <w:t>Abschnitt 9.4</w:t>
            </w:r>
          </w:p>
        </w:tc>
      </w:tr>
      <w:tr w:rsidR="006C5BAF" w14:paraId="0746515A" w14:textId="77777777">
        <w:trPr>
          <w:trHeight w:val="20"/>
        </w:trPr>
        <w:tc>
          <w:tcPr>
            <w:tcW w:w="1098" w:type="pct"/>
            <w:tcBorders>
              <w:top w:val="single" w:sz="8" w:space="0" w:color="auto"/>
              <w:left w:val="single" w:sz="8" w:space="0" w:color="auto"/>
              <w:bottom w:val="single" w:sz="8" w:space="0" w:color="auto"/>
              <w:right w:val="single" w:sz="8" w:space="0" w:color="auto"/>
            </w:tcBorders>
            <w:shd w:val="clear" w:color="auto" w:fill="auto"/>
          </w:tcPr>
          <w:p w14:paraId="37E936E3" w14:textId="4005CF48" w:rsidR="006C5BAF" w:rsidRDefault="00EA3C68">
            <w:pPr>
              <w:spacing w:before="60" w:after="60"/>
              <w:rPr>
                <w:sz w:val="20"/>
                <w:szCs w:val="20"/>
              </w:rPr>
            </w:pPr>
            <w:r>
              <w:rPr>
                <w:sz w:val="20"/>
                <w:szCs w:val="20"/>
              </w:rPr>
              <w:t>Mittelwertzielkarte</w:t>
            </w:r>
          </w:p>
        </w:tc>
        <w:tc>
          <w:tcPr>
            <w:tcW w:w="748" w:type="pct"/>
            <w:tcBorders>
              <w:top w:val="single" w:sz="8" w:space="0" w:color="auto"/>
              <w:left w:val="nil"/>
              <w:bottom w:val="single" w:sz="8" w:space="0" w:color="auto"/>
              <w:right w:val="single" w:sz="8" w:space="0" w:color="auto"/>
            </w:tcBorders>
            <w:shd w:val="clear" w:color="auto" w:fill="auto"/>
          </w:tcPr>
          <w:p w14:paraId="08EB61A2" w14:textId="77777777" w:rsidR="006C5BAF" w:rsidRDefault="00EA3C68">
            <w:pPr>
              <w:spacing w:before="60" w:after="60"/>
              <w:rPr>
                <w:sz w:val="20"/>
                <w:szCs w:val="20"/>
              </w:rPr>
            </w:pPr>
            <w:r>
              <w:rPr>
                <w:sz w:val="20"/>
                <w:szCs w:val="20"/>
              </w:rPr>
              <w:t>p-Cl-Phenol-Standard im mittleren Arbeitsbereich des Messsystems</w:t>
            </w:r>
          </w:p>
          <w:p w14:paraId="490D3C0C" w14:textId="77777777" w:rsidR="006C5BAF" w:rsidRDefault="00EA3C68">
            <w:pPr>
              <w:spacing w:before="60" w:after="60"/>
              <w:rPr>
                <w:rFonts w:eastAsia="Times New Roman"/>
                <w:color w:val="000000"/>
                <w:sz w:val="20"/>
                <w:szCs w:val="20"/>
                <w:lang w:eastAsia="de-DE"/>
              </w:rPr>
            </w:pPr>
            <w:r>
              <w:rPr>
                <w:sz w:val="20"/>
                <w:szCs w:val="20"/>
              </w:rPr>
              <w:t>(z. B. 100 bis 200 µg/l)</w:t>
            </w:r>
          </w:p>
        </w:tc>
        <w:tc>
          <w:tcPr>
            <w:tcW w:w="798" w:type="pct"/>
            <w:tcBorders>
              <w:top w:val="single" w:sz="8" w:space="0" w:color="auto"/>
              <w:left w:val="nil"/>
              <w:bottom w:val="single" w:sz="8" w:space="0" w:color="auto"/>
              <w:right w:val="single" w:sz="8" w:space="0" w:color="auto"/>
            </w:tcBorders>
            <w:shd w:val="clear" w:color="auto" w:fill="auto"/>
          </w:tcPr>
          <w:p w14:paraId="1BC57B0B" w14:textId="77777777" w:rsidR="006C5BAF" w:rsidRDefault="00EA3C68">
            <w:pPr>
              <w:spacing w:before="60" w:after="60"/>
              <w:rPr>
                <w:rFonts w:eastAsia="Arial"/>
                <w:color w:val="000000"/>
                <w:sz w:val="20"/>
                <w:szCs w:val="20"/>
                <w:lang w:eastAsia="de-DE"/>
              </w:rPr>
            </w:pPr>
            <w:r>
              <w:rPr>
                <w:rFonts w:eastAsia="Arial"/>
                <w:color w:val="000000"/>
                <w:sz w:val="20"/>
                <w:szCs w:val="20"/>
                <w:lang w:eastAsia="de-DE"/>
              </w:rPr>
              <w:t>arbeitstäglich</w:t>
            </w:r>
          </w:p>
        </w:tc>
        <w:tc>
          <w:tcPr>
            <w:tcW w:w="1012" w:type="pct"/>
            <w:tcBorders>
              <w:top w:val="single" w:sz="8" w:space="0" w:color="auto"/>
              <w:left w:val="nil"/>
              <w:bottom w:val="single" w:sz="8" w:space="0" w:color="auto"/>
              <w:right w:val="single" w:sz="8" w:space="0" w:color="auto"/>
            </w:tcBorders>
            <w:shd w:val="clear" w:color="auto" w:fill="auto"/>
          </w:tcPr>
          <w:p w14:paraId="70ACAD03" w14:textId="77777777" w:rsidR="006C5BAF" w:rsidRDefault="00EA3C68">
            <w:pPr>
              <w:spacing w:before="60" w:after="60"/>
              <w:ind w:left="8"/>
              <w:rPr>
                <w:rFonts w:eastAsia="Arial"/>
                <w:color w:val="000000"/>
                <w:sz w:val="20"/>
                <w:szCs w:val="20"/>
                <w:lang w:eastAsia="de-DE"/>
              </w:rPr>
            </w:pPr>
            <w:r>
              <w:rPr>
                <w:rFonts w:eastAsia="Arial"/>
                <w:color w:val="000000"/>
                <w:sz w:val="20"/>
                <w:szCs w:val="20"/>
                <w:lang w:eastAsia="de-DE"/>
              </w:rPr>
              <w:t>AU = 90 % des Sollwertes,</w:t>
            </w:r>
          </w:p>
          <w:p w14:paraId="2B764687" w14:textId="77777777" w:rsidR="006C5BAF" w:rsidRDefault="00EA3C68">
            <w:pPr>
              <w:spacing w:before="60" w:after="60"/>
              <w:ind w:left="8"/>
              <w:rPr>
                <w:rFonts w:eastAsia="Arial"/>
                <w:color w:val="000000"/>
                <w:sz w:val="20"/>
                <w:szCs w:val="20"/>
                <w:lang w:eastAsia="de-DE"/>
              </w:rPr>
            </w:pPr>
            <w:r>
              <w:rPr>
                <w:rFonts w:eastAsia="Arial"/>
                <w:color w:val="000000"/>
                <w:sz w:val="20"/>
                <w:szCs w:val="20"/>
                <w:lang w:eastAsia="de-DE"/>
              </w:rPr>
              <w:t>AO = 110 % des Sollwertes</w:t>
            </w:r>
          </w:p>
        </w:tc>
        <w:tc>
          <w:tcPr>
            <w:tcW w:w="1346" w:type="pct"/>
            <w:tcBorders>
              <w:top w:val="single" w:sz="8" w:space="0" w:color="auto"/>
              <w:left w:val="nil"/>
              <w:bottom w:val="single" w:sz="8" w:space="0" w:color="auto"/>
              <w:right w:val="single" w:sz="8" w:space="0" w:color="auto"/>
            </w:tcBorders>
            <w:shd w:val="clear" w:color="auto" w:fill="auto"/>
          </w:tcPr>
          <w:p w14:paraId="737C6BF3" w14:textId="0D4131A7" w:rsidR="006C5BAF" w:rsidRDefault="00EA3C68" w:rsidP="00EA3C68">
            <w:pPr>
              <w:spacing w:before="60" w:after="60"/>
              <w:ind w:left="8"/>
              <w:rPr>
                <w:rFonts w:eastAsia="Arial"/>
                <w:color w:val="000000"/>
                <w:sz w:val="20"/>
                <w:szCs w:val="20"/>
                <w:lang w:eastAsia="de-DE"/>
              </w:rPr>
            </w:pPr>
            <w:r>
              <w:rPr>
                <w:rFonts w:eastAsia="Arial"/>
                <w:color w:val="000000"/>
                <w:sz w:val="20"/>
                <w:szCs w:val="20"/>
                <w:lang w:eastAsia="de-DE"/>
              </w:rPr>
              <w:t xml:space="preserve">Die tägliche Prüfung des Gesamtverfahrens ist vorgegeben durch DIN EN ISO 9562 (H 14), </w:t>
            </w:r>
            <w:r>
              <w:rPr>
                <w:rFonts w:eastAsia="Arial"/>
                <w:sz w:val="20"/>
                <w:szCs w:val="20"/>
                <w:lang w:eastAsia="de-DE"/>
              </w:rPr>
              <w:t>Abschnitt 9.5.2.1</w:t>
            </w:r>
          </w:p>
        </w:tc>
      </w:tr>
      <w:tr w:rsidR="006C5BAF" w14:paraId="53C11BA7" w14:textId="77777777">
        <w:trPr>
          <w:trHeight w:val="20"/>
        </w:trPr>
        <w:tc>
          <w:tcPr>
            <w:tcW w:w="1098" w:type="pct"/>
            <w:tcBorders>
              <w:top w:val="single" w:sz="8" w:space="0" w:color="auto"/>
              <w:left w:val="single" w:sz="8" w:space="0" w:color="auto"/>
              <w:bottom w:val="single" w:sz="8" w:space="0" w:color="auto"/>
              <w:right w:val="single" w:sz="8" w:space="0" w:color="auto"/>
            </w:tcBorders>
            <w:shd w:val="clear" w:color="auto" w:fill="auto"/>
          </w:tcPr>
          <w:p w14:paraId="12A2A84C" w14:textId="77777777" w:rsidR="006C5BAF" w:rsidRDefault="00EA3C68">
            <w:pPr>
              <w:spacing w:before="60" w:after="60"/>
              <w:rPr>
                <w:rFonts w:eastAsia="Times New Roman"/>
                <w:color w:val="000000"/>
                <w:sz w:val="20"/>
                <w:szCs w:val="20"/>
                <w:lang w:eastAsia="de-DE"/>
              </w:rPr>
            </w:pPr>
            <w:r>
              <w:rPr>
                <w:rFonts w:eastAsia="Times New Roman"/>
                <w:color w:val="000000"/>
                <w:sz w:val="20"/>
                <w:szCs w:val="20"/>
                <w:lang w:eastAsia="de-DE"/>
              </w:rPr>
              <w:t>relative Spannweitenzielkarte</w:t>
            </w:r>
          </w:p>
        </w:tc>
        <w:tc>
          <w:tcPr>
            <w:tcW w:w="748" w:type="pct"/>
            <w:tcBorders>
              <w:top w:val="single" w:sz="8" w:space="0" w:color="auto"/>
              <w:left w:val="nil"/>
              <w:bottom w:val="single" w:sz="8" w:space="0" w:color="auto"/>
              <w:right w:val="single" w:sz="8" w:space="0" w:color="auto"/>
            </w:tcBorders>
            <w:shd w:val="clear" w:color="auto" w:fill="auto"/>
          </w:tcPr>
          <w:p w14:paraId="051F1EDD" w14:textId="77777777" w:rsidR="006C5BAF" w:rsidRDefault="00EA3C68">
            <w:pPr>
              <w:spacing w:before="60" w:after="60"/>
              <w:rPr>
                <w:rFonts w:eastAsia="Times New Roman"/>
                <w:color w:val="000000"/>
                <w:sz w:val="20"/>
                <w:szCs w:val="20"/>
                <w:lang w:eastAsia="de-DE"/>
              </w:rPr>
            </w:pPr>
            <w:r>
              <w:rPr>
                <w:sz w:val="20"/>
                <w:szCs w:val="20"/>
              </w:rPr>
              <w:t>reale Proben mit wechselnden Matrices</w:t>
            </w:r>
          </w:p>
        </w:tc>
        <w:tc>
          <w:tcPr>
            <w:tcW w:w="798" w:type="pct"/>
            <w:tcBorders>
              <w:top w:val="single" w:sz="8" w:space="0" w:color="auto"/>
              <w:left w:val="nil"/>
              <w:bottom w:val="single" w:sz="8" w:space="0" w:color="auto"/>
              <w:right w:val="single" w:sz="8" w:space="0" w:color="auto"/>
            </w:tcBorders>
            <w:shd w:val="clear" w:color="auto" w:fill="auto"/>
          </w:tcPr>
          <w:p w14:paraId="15EFC10E" w14:textId="77777777" w:rsidR="006C5BAF" w:rsidRDefault="00EA3C68">
            <w:pPr>
              <w:spacing w:before="60" w:after="60"/>
              <w:rPr>
                <w:rFonts w:eastAsia="Arial"/>
                <w:color w:val="000000"/>
                <w:sz w:val="20"/>
                <w:szCs w:val="20"/>
                <w:lang w:eastAsia="de-DE"/>
              </w:rPr>
            </w:pPr>
            <w:r>
              <w:rPr>
                <w:rFonts w:eastAsia="Arial"/>
                <w:color w:val="000000"/>
                <w:sz w:val="20"/>
                <w:szCs w:val="20"/>
                <w:lang w:eastAsia="de-DE"/>
              </w:rPr>
              <w:t>arbeitstäglich</w:t>
            </w:r>
          </w:p>
        </w:tc>
        <w:tc>
          <w:tcPr>
            <w:tcW w:w="1012" w:type="pct"/>
            <w:tcBorders>
              <w:top w:val="single" w:sz="8" w:space="0" w:color="auto"/>
              <w:left w:val="nil"/>
              <w:bottom w:val="single" w:sz="8" w:space="0" w:color="auto"/>
              <w:right w:val="single" w:sz="8" w:space="0" w:color="auto"/>
            </w:tcBorders>
            <w:shd w:val="clear" w:color="auto" w:fill="auto"/>
          </w:tcPr>
          <w:p w14:paraId="5D4F166C" w14:textId="77777777" w:rsidR="006C5BAF" w:rsidRDefault="00EA3C68">
            <w:pPr>
              <w:spacing w:before="60" w:after="60"/>
              <w:ind w:left="8"/>
              <w:rPr>
                <w:rFonts w:eastAsia="Arial"/>
                <w:color w:val="000000"/>
                <w:sz w:val="20"/>
                <w:szCs w:val="20"/>
                <w:lang w:eastAsia="de-DE"/>
              </w:rPr>
            </w:pPr>
            <w:r>
              <w:rPr>
                <w:rFonts w:eastAsia="Arial"/>
                <w:color w:val="000000"/>
                <w:sz w:val="20"/>
                <w:szCs w:val="20"/>
                <w:lang w:eastAsia="de-DE"/>
              </w:rPr>
              <w:t>20 % bezogen auf den Mittelwert bzw. nicht mehr als 10 µg/l bei AOX &lt; 100µg/l</w:t>
            </w:r>
          </w:p>
        </w:tc>
        <w:tc>
          <w:tcPr>
            <w:tcW w:w="1346" w:type="pct"/>
            <w:tcBorders>
              <w:top w:val="single" w:sz="8" w:space="0" w:color="auto"/>
              <w:left w:val="nil"/>
              <w:bottom w:val="single" w:sz="8" w:space="0" w:color="auto"/>
              <w:right w:val="single" w:sz="8" w:space="0" w:color="auto"/>
            </w:tcBorders>
            <w:shd w:val="clear" w:color="auto" w:fill="auto"/>
          </w:tcPr>
          <w:p w14:paraId="3E1C038D" w14:textId="44CED518" w:rsidR="006C5BAF" w:rsidRDefault="00164C64" w:rsidP="00164C64">
            <w:pPr>
              <w:spacing w:before="60" w:after="60"/>
              <w:ind w:left="8"/>
              <w:rPr>
                <w:rFonts w:eastAsia="Arial"/>
                <w:color w:val="000000"/>
                <w:sz w:val="20"/>
                <w:szCs w:val="20"/>
                <w:lang w:eastAsia="de-DE"/>
              </w:rPr>
            </w:pPr>
            <w:r>
              <w:rPr>
                <w:rFonts w:eastAsia="Arial"/>
                <w:color w:val="000000"/>
                <w:sz w:val="20"/>
                <w:szCs w:val="20"/>
                <w:lang w:eastAsia="de-DE"/>
              </w:rPr>
              <w:t xml:space="preserve">Nur notwendig, wenn keine routinemäßige Doppelbestimmung </w:t>
            </w:r>
            <w:proofErr w:type="gramStart"/>
            <w:r>
              <w:rPr>
                <w:rFonts w:eastAsia="Arial"/>
                <w:color w:val="000000"/>
                <w:sz w:val="20"/>
                <w:szCs w:val="20"/>
                <w:lang w:eastAsia="de-DE"/>
              </w:rPr>
              <w:t>erfolgt</w:t>
            </w:r>
            <w:proofErr w:type="gramEnd"/>
          </w:p>
        </w:tc>
      </w:tr>
    </w:tbl>
    <w:p w14:paraId="0FE67D72" w14:textId="77777777" w:rsidR="006C5BAF" w:rsidRDefault="006C5BAF">
      <w:pPr>
        <w:tabs>
          <w:tab w:val="left" w:pos="567"/>
          <w:tab w:val="left" w:pos="851"/>
          <w:tab w:val="left" w:pos="1134"/>
        </w:tabs>
        <w:spacing w:before="0"/>
        <w:ind w:right="113"/>
        <w:rPr>
          <w:b/>
        </w:rPr>
      </w:pPr>
    </w:p>
    <w:p w14:paraId="18672FDF" w14:textId="77777777" w:rsidR="006C5BAF" w:rsidRDefault="00EA3C68">
      <w:pPr>
        <w:spacing w:before="0" w:after="200" w:line="276" w:lineRule="auto"/>
        <w:rPr>
          <w:b/>
        </w:rPr>
      </w:pPr>
      <w:r>
        <w:rPr>
          <w:b/>
        </w:rPr>
        <w:t>Tabelle 1:</w:t>
      </w:r>
      <w:r>
        <w:rPr>
          <w:b/>
        </w:rPr>
        <w:tab/>
        <w:t>Maßnahmen zur internen Qualitätskontrolle</w:t>
      </w:r>
    </w:p>
    <w:p w14:paraId="49A42CFE" w14:textId="77777777" w:rsidR="006C5BAF" w:rsidRDefault="006C5BAF">
      <w:pPr>
        <w:spacing w:before="0" w:after="200" w:line="276" w:lineRule="auto"/>
        <w:rPr>
          <w:b/>
        </w:rPr>
      </w:pPr>
    </w:p>
    <w:sectPr w:rsidR="006C5BAF">
      <w:headerReference w:type="even" r:id="rId17"/>
      <w:headerReference w:type="default" r:id="rId18"/>
      <w:headerReference w:type="first" r:id="rId19"/>
      <w:pgSz w:w="16838" w:h="11906" w:orient="landscape" w:code="9"/>
      <w:pgMar w:top="1418" w:right="1418" w:bottom="1134" w:left="1418"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6682E" w14:textId="77777777" w:rsidR="009F077F" w:rsidRDefault="009F077F">
      <w:r>
        <w:separator/>
      </w:r>
    </w:p>
  </w:endnote>
  <w:endnote w:type="continuationSeparator" w:id="0">
    <w:p w14:paraId="18B41B18" w14:textId="77777777" w:rsidR="009F077F" w:rsidRDefault="009F0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527097"/>
      <w:docPartObj>
        <w:docPartGallery w:val="Page Numbers (Bottom of Page)"/>
        <w:docPartUnique/>
      </w:docPartObj>
    </w:sdtPr>
    <w:sdtEndPr>
      <w:rPr>
        <w:rFonts w:ascii="Arial" w:hAnsi="Arial" w:cs="Arial"/>
        <w:b/>
      </w:rPr>
    </w:sdtEndPr>
    <w:sdtContent>
      <w:p w14:paraId="3F7250D8" w14:textId="154055CC" w:rsidR="006C5BAF" w:rsidRDefault="00EA3C68">
        <w:pPr>
          <w:tabs>
            <w:tab w:val="center" w:pos="4536"/>
            <w:tab w:val="right" w:pos="9072"/>
          </w:tabs>
          <w:jc w:val="center"/>
          <w:rPr>
            <w:rFonts w:ascii="Arial" w:hAnsi="Arial" w:cs="Arial"/>
            <w:b/>
          </w:rPr>
        </w:pPr>
        <w:r>
          <w:rPr>
            <w:rFonts w:ascii="Arial" w:hAnsi="Arial" w:cs="Arial"/>
            <w:b/>
          </w:rPr>
          <w:fldChar w:fldCharType="begin"/>
        </w:r>
        <w:r>
          <w:rPr>
            <w:rFonts w:ascii="Arial" w:hAnsi="Arial" w:cs="Arial"/>
            <w:b/>
          </w:rPr>
          <w:instrText>PAGE   \* MERGEFORMAT</w:instrText>
        </w:r>
        <w:r>
          <w:rPr>
            <w:rFonts w:ascii="Arial" w:hAnsi="Arial" w:cs="Arial"/>
            <w:b/>
          </w:rPr>
          <w:fldChar w:fldCharType="separate"/>
        </w:r>
        <w:r w:rsidR="00882C1B">
          <w:rPr>
            <w:rFonts w:ascii="Arial" w:hAnsi="Arial" w:cs="Arial"/>
            <w:b/>
            <w:noProof/>
          </w:rPr>
          <w:t>2</w:t>
        </w:r>
        <w:r>
          <w:rPr>
            <w:rFonts w:ascii="Arial" w:hAnsi="Arial" w:cs="Arial"/>
            <w: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055096"/>
      <w:docPartObj>
        <w:docPartGallery w:val="Page Numbers (Bottom of Page)"/>
        <w:docPartUnique/>
      </w:docPartObj>
    </w:sdtPr>
    <w:sdtEndPr>
      <w:rPr>
        <w:rFonts w:ascii="Arial" w:hAnsi="Arial" w:cs="Arial"/>
        <w:b/>
      </w:rPr>
    </w:sdtEndPr>
    <w:sdtContent>
      <w:p w14:paraId="14AFC702" w14:textId="394732ED" w:rsidR="006C5BAF" w:rsidRDefault="00EA3C68">
        <w:pPr>
          <w:pStyle w:val="Fuzeile"/>
          <w:jc w:val="center"/>
          <w:rPr>
            <w:rFonts w:ascii="Arial" w:hAnsi="Arial" w:cs="Arial"/>
            <w:b/>
          </w:rPr>
        </w:pPr>
        <w:r>
          <w:rPr>
            <w:rFonts w:ascii="Arial" w:hAnsi="Arial" w:cs="Arial"/>
            <w:b/>
          </w:rPr>
          <w:fldChar w:fldCharType="begin"/>
        </w:r>
        <w:r>
          <w:rPr>
            <w:rFonts w:ascii="Arial" w:hAnsi="Arial" w:cs="Arial"/>
            <w:b/>
          </w:rPr>
          <w:instrText>PAGE   \* MERGEFORMAT</w:instrText>
        </w:r>
        <w:r>
          <w:rPr>
            <w:rFonts w:ascii="Arial" w:hAnsi="Arial" w:cs="Arial"/>
            <w:b/>
          </w:rPr>
          <w:fldChar w:fldCharType="separate"/>
        </w:r>
        <w:r w:rsidR="00882C1B">
          <w:rPr>
            <w:rFonts w:ascii="Arial" w:hAnsi="Arial" w:cs="Arial"/>
            <w:b/>
            <w:noProof/>
          </w:rPr>
          <w:t>7</w:t>
        </w:r>
        <w:r>
          <w:rPr>
            <w:rFonts w:ascii="Arial" w:hAnsi="Arial" w:cs="Arial"/>
            <w:b/>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936310"/>
      <w:docPartObj>
        <w:docPartGallery w:val="Page Numbers (Bottom of Page)"/>
        <w:docPartUnique/>
      </w:docPartObj>
    </w:sdtPr>
    <w:sdtEndPr>
      <w:rPr>
        <w:rFonts w:ascii="Arial" w:hAnsi="Arial" w:cs="Arial"/>
        <w:b/>
      </w:rPr>
    </w:sdtEndPr>
    <w:sdtContent>
      <w:p w14:paraId="3F300363" w14:textId="7CF9DB0B" w:rsidR="006C5BAF" w:rsidRDefault="00EA3C68">
        <w:pPr>
          <w:pStyle w:val="Fuzeile"/>
          <w:jc w:val="center"/>
          <w:rPr>
            <w:rFonts w:ascii="Arial" w:hAnsi="Arial" w:cs="Arial"/>
            <w:b/>
          </w:rPr>
        </w:pPr>
        <w:r>
          <w:rPr>
            <w:rFonts w:ascii="Arial" w:hAnsi="Arial" w:cs="Arial"/>
            <w:b/>
          </w:rPr>
          <w:fldChar w:fldCharType="begin"/>
        </w:r>
        <w:r>
          <w:rPr>
            <w:rFonts w:ascii="Arial" w:hAnsi="Arial" w:cs="Arial"/>
            <w:b/>
          </w:rPr>
          <w:instrText>PAGE   \* MERGEFORMAT</w:instrText>
        </w:r>
        <w:r>
          <w:rPr>
            <w:rFonts w:ascii="Arial" w:hAnsi="Arial" w:cs="Arial"/>
            <w:b/>
          </w:rPr>
          <w:fldChar w:fldCharType="separate"/>
        </w:r>
        <w:r w:rsidR="00882C1B">
          <w:rPr>
            <w:rFonts w:ascii="Arial" w:hAnsi="Arial" w:cs="Arial"/>
            <w:b/>
            <w:noProof/>
          </w:rPr>
          <w:t>1</w:t>
        </w:r>
        <w:r>
          <w:rPr>
            <w:rFonts w:ascii="Arial" w:hAnsi="Arial" w:cs="Arial"/>
            <w: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19405" w14:textId="77777777" w:rsidR="009F077F" w:rsidRDefault="009F077F">
      <w:r>
        <w:separator/>
      </w:r>
    </w:p>
  </w:footnote>
  <w:footnote w:type="continuationSeparator" w:id="0">
    <w:p w14:paraId="40608C9E" w14:textId="77777777" w:rsidR="009F077F" w:rsidRDefault="009F0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1" w:type="dxa"/>
        <w:right w:w="71" w:type="dxa"/>
      </w:tblCellMar>
      <w:tblLook w:val="0000" w:firstRow="0" w:lastRow="0" w:firstColumn="0" w:lastColumn="0" w:noHBand="0" w:noVBand="0"/>
    </w:tblPr>
    <w:tblGrid>
      <w:gridCol w:w="1134"/>
      <w:gridCol w:w="7030"/>
      <w:gridCol w:w="1134"/>
    </w:tblGrid>
    <w:tr w:rsidR="006C5BAF" w14:paraId="602F560F" w14:textId="77777777">
      <w:trPr>
        <w:cantSplit/>
        <w:trHeight w:hRule="exact" w:val="283"/>
        <w:jc w:val="center"/>
      </w:trPr>
      <w:tc>
        <w:tcPr>
          <w:tcW w:w="9298" w:type="dxa"/>
          <w:gridSpan w:val="3"/>
          <w:tcBorders>
            <w:top w:val="nil"/>
            <w:left w:val="nil"/>
            <w:bottom w:val="single" w:sz="12" w:space="0" w:color="auto"/>
            <w:right w:val="nil"/>
          </w:tcBorders>
          <w:vAlign w:val="center"/>
        </w:tcPr>
        <w:p w14:paraId="2DC4564B" w14:textId="77777777" w:rsidR="006C5BAF" w:rsidRDefault="006C5BAF">
          <w:pPr>
            <w:pStyle w:val="Kopfzeile"/>
            <w:spacing w:before="0"/>
            <w:jc w:val="right"/>
            <w:rPr>
              <w:rFonts w:ascii="Arial" w:hAnsi="Arial" w:cs="Arial"/>
              <w:b/>
              <w:sz w:val="24"/>
              <w:szCs w:val="24"/>
              <w:lang w:eastAsia="de-DE"/>
            </w:rPr>
          </w:pPr>
        </w:p>
      </w:tc>
    </w:tr>
    <w:tr w:rsidR="006C5BAF" w14:paraId="461F8F75" w14:textId="77777777">
      <w:trPr>
        <w:cantSplit/>
        <w:trHeight w:hRule="exact" w:val="1134"/>
        <w:jc w:val="center"/>
      </w:trPr>
      <w:tc>
        <w:tcPr>
          <w:tcW w:w="1134" w:type="dxa"/>
          <w:tcBorders>
            <w:top w:val="single" w:sz="12" w:space="0" w:color="auto"/>
          </w:tcBorders>
          <w:vAlign w:val="center"/>
        </w:tcPr>
        <w:p w14:paraId="13055CFC" w14:textId="77777777" w:rsidR="006C5BAF" w:rsidRDefault="00EA3C68">
          <w:pPr>
            <w:tabs>
              <w:tab w:val="center" w:pos="4536"/>
              <w:tab w:val="right" w:pos="9072"/>
            </w:tabs>
            <w:spacing w:before="0" w:line="276" w:lineRule="auto"/>
            <w:jc w:val="center"/>
            <w:rPr>
              <w:rFonts w:ascii="Arial" w:hAnsi="Arial" w:cs="Arial"/>
              <w:b/>
              <w:sz w:val="32"/>
              <w:szCs w:val="32"/>
              <w:lang w:eastAsia="de-DE"/>
            </w:rPr>
          </w:pPr>
          <w:r>
            <w:rPr>
              <w:rFonts w:ascii="Arial" w:hAnsi="Arial" w:cs="Arial"/>
              <w:b/>
              <w:sz w:val="32"/>
              <w:szCs w:val="32"/>
              <w:lang w:eastAsia="de-DE"/>
            </w:rPr>
            <w:t>P-5</w:t>
          </w:r>
        </w:p>
      </w:tc>
      <w:tc>
        <w:tcPr>
          <w:tcW w:w="7030" w:type="dxa"/>
          <w:tcBorders>
            <w:top w:val="single" w:sz="12" w:space="0" w:color="auto"/>
          </w:tcBorders>
          <w:vAlign w:val="center"/>
        </w:tcPr>
        <w:p w14:paraId="4FCCF9BA" w14:textId="77777777" w:rsidR="006C5BAF" w:rsidRDefault="00EA3C68">
          <w:pPr>
            <w:tabs>
              <w:tab w:val="center" w:pos="4536"/>
              <w:tab w:val="right" w:pos="9072"/>
            </w:tabs>
            <w:spacing w:before="0"/>
            <w:ind w:left="102"/>
            <w:jc w:val="center"/>
            <w:rPr>
              <w:rFonts w:ascii="Arial" w:eastAsia="Times New Roman" w:hAnsi="Arial" w:cs="Arial"/>
              <w:b/>
              <w:szCs w:val="20"/>
              <w:lang w:eastAsia="de-DE"/>
            </w:rPr>
          </w:pPr>
          <w:r>
            <w:rPr>
              <w:rFonts w:ascii="Arial" w:eastAsia="Times New Roman" w:hAnsi="Arial" w:cs="Arial"/>
              <w:b/>
              <w:szCs w:val="20"/>
              <w:lang w:eastAsia="de-DE"/>
            </w:rPr>
            <w:t xml:space="preserve">Adsorbierbare organisch gebundene Halogene (AOX) in </w:t>
          </w:r>
          <w:r>
            <w:rPr>
              <w:rFonts w:ascii="Arial" w:eastAsia="Times New Roman" w:hAnsi="Arial" w:cs="Arial"/>
              <w:b/>
              <w:szCs w:val="20"/>
              <w:lang w:eastAsia="de-DE"/>
            </w:rPr>
            <w:br/>
            <w:t>Wässern</w:t>
          </w:r>
        </w:p>
      </w:tc>
      <w:tc>
        <w:tcPr>
          <w:tcW w:w="1134" w:type="dxa"/>
          <w:tcBorders>
            <w:top w:val="single" w:sz="12" w:space="0" w:color="auto"/>
          </w:tcBorders>
          <w:vAlign w:val="center"/>
        </w:tcPr>
        <w:p w14:paraId="059527AB" w14:textId="3F2B99F6" w:rsidR="006C5BAF" w:rsidRDefault="00E22D0E" w:rsidP="00E22D0E">
          <w:pPr>
            <w:tabs>
              <w:tab w:val="center" w:pos="4536"/>
              <w:tab w:val="right" w:pos="9072"/>
            </w:tabs>
            <w:spacing w:before="0" w:line="276" w:lineRule="auto"/>
            <w:ind w:left="104"/>
            <w:jc w:val="center"/>
            <w:rPr>
              <w:rFonts w:ascii="Arial" w:hAnsi="Arial" w:cs="Arial"/>
              <w:lang w:eastAsia="de-DE"/>
            </w:rPr>
          </w:pPr>
          <w:r>
            <w:rPr>
              <w:rFonts w:ascii="Arial" w:hAnsi="Arial" w:cs="Arial"/>
              <w:lang w:eastAsia="de-DE"/>
            </w:rPr>
            <w:t>April</w:t>
          </w:r>
          <w:r w:rsidR="00EA3C68">
            <w:rPr>
              <w:rFonts w:ascii="Arial" w:hAnsi="Arial" w:cs="Arial"/>
              <w:lang w:eastAsia="de-DE"/>
            </w:rPr>
            <w:t xml:space="preserve"> 202</w:t>
          </w:r>
          <w:r>
            <w:rPr>
              <w:rFonts w:ascii="Arial" w:hAnsi="Arial" w:cs="Arial"/>
              <w:lang w:eastAsia="de-DE"/>
            </w:rPr>
            <w:t>2</w:t>
          </w:r>
        </w:p>
      </w:tc>
    </w:tr>
  </w:tbl>
  <w:p w14:paraId="43CF4828" w14:textId="77777777" w:rsidR="006C5BAF" w:rsidRDefault="006C5B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1" w:type="dxa"/>
        <w:right w:w="71" w:type="dxa"/>
      </w:tblCellMar>
      <w:tblLook w:val="0000" w:firstRow="0" w:lastRow="0" w:firstColumn="0" w:lastColumn="0" w:noHBand="0" w:noVBand="0"/>
    </w:tblPr>
    <w:tblGrid>
      <w:gridCol w:w="1134"/>
      <w:gridCol w:w="7030"/>
      <w:gridCol w:w="1134"/>
    </w:tblGrid>
    <w:tr w:rsidR="006C5BAF" w14:paraId="56F782A2" w14:textId="77777777">
      <w:trPr>
        <w:cantSplit/>
        <w:trHeight w:hRule="exact" w:val="283"/>
        <w:jc w:val="center"/>
      </w:trPr>
      <w:tc>
        <w:tcPr>
          <w:tcW w:w="9298" w:type="dxa"/>
          <w:gridSpan w:val="3"/>
          <w:tcBorders>
            <w:top w:val="nil"/>
            <w:left w:val="nil"/>
            <w:bottom w:val="single" w:sz="12" w:space="0" w:color="auto"/>
            <w:right w:val="nil"/>
          </w:tcBorders>
          <w:vAlign w:val="center"/>
        </w:tcPr>
        <w:p w14:paraId="39DFBA36" w14:textId="77777777" w:rsidR="006C5BAF" w:rsidRDefault="006C5BAF">
          <w:pPr>
            <w:pStyle w:val="Kopfzeile"/>
            <w:spacing w:before="0" w:line="276" w:lineRule="auto"/>
            <w:jc w:val="right"/>
            <w:rPr>
              <w:rFonts w:ascii="Arial" w:hAnsi="Arial" w:cs="Arial"/>
              <w:b/>
              <w:sz w:val="24"/>
              <w:szCs w:val="24"/>
              <w:lang w:eastAsia="de-DE"/>
            </w:rPr>
          </w:pPr>
        </w:p>
      </w:tc>
    </w:tr>
    <w:tr w:rsidR="006C5BAF" w14:paraId="0308815B" w14:textId="77777777">
      <w:trPr>
        <w:cantSplit/>
        <w:trHeight w:hRule="exact" w:val="1134"/>
        <w:jc w:val="center"/>
      </w:trPr>
      <w:tc>
        <w:tcPr>
          <w:tcW w:w="1134" w:type="dxa"/>
          <w:tcBorders>
            <w:top w:val="single" w:sz="12" w:space="0" w:color="auto"/>
          </w:tcBorders>
          <w:vAlign w:val="center"/>
        </w:tcPr>
        <w:p w14:paraId="705B6999" w14:textId="215F8D94" w:rsidR="006C5BAF" w:rsidRDefault="00E22D0E" w:rsidP="00E22D0E">
          <w:pPr>
            <w:pStyle w:val="Kopfzeile"/>
            <w:spacing w:before="0" w:line="276" w:lineRule="auto"/>
            <w:ind w:left="104"/>
            <w:jc w:val="center"/>
            <w:rPr>
              <w:rFonts w:ascii="Arial" w:hAnsi="Arial" w:cs="Arial"/>
              <w:lang w:eastAsia="de-DE"/>
            </w:rPr>
          </w:pPr>
          <w:r>
            <w:rPr>
              <w:rFonts w:ascii="Arial" w:hAnsi="Arial" w:cs="Arial"/>
              <w:lang w:eastAsia="de-DE"/>
            </w:rPr>
            <w:t>April</w:t>
          </w:r>
          <w:r w:rsidR="00EA3C68">
            <w:rPr>
              <w:rFonts w:ascii="Arial" w:hAnsi="Arial" w:cs="Arial"/>
              <w:lang w:eastAsia="de-DE"/>
            </w:rPr>
            <w:t xml:space="preserve"> 202</w:t>
          </w:r>
          <w:r>
            <w:rPr>
              <w:rFonts w:ascii="Arial" w:hAnsi="Arial" w:cs="Arial"/>
              <w:lang w:eastAsia="de-DE"/>
            </w:rPr>
            <w:t>2</w:t>
          </w:r>
        </w:p>
      </w:tc>
      <w:tc>
        <w:tcPr>
          <w:tcW w:w="7030" w:type="dxa"/>
          <w:tcBorders>
            <w:top w:val="single" w:sz="12" w:space="0" w:color="auto"/>
          </w:tcBorders>
          <w:vAlign w:val="center"/>
        </w:tcPr>
        <w:p w14:paraId="7DEF103C" w14:textId="77777777" w:rsidR="006C5BAF" w:rsidRDefault="00EA3C68">
          <w:pPr>
            <w:pStyle w:val="Kopfzeile"/>
            <w:spacing w:before="0"/>
            <w:ind w:left="102"/>
            <w:jc w:val="center"/>
            <w:rPr>
              <w:rFonts w:ascii="Arial" w:eastAsia="Times New Roman" w:hAnsi="Arial" w:cs="Arial"/>
              <w:b/>
              <w:szCs w:val="20"/>
              <w:lang w:eastAsia="de-DE"/>
            </w:rPr>
          </w:pPr>
          <w:r>
            <w:rPr>
              <w:rFonts w:ascii="Arial" w:eastAsia="Times New Roman" w:hAnsi="Arial" w:cs="Arial"/>
              <w:b/>
              <w:szCs w:val="20"/>
              <w:lang w:eastAsia="de-DE"/>
            </w:rPr>
            <w:t xml:space="preserve">Adsorbierbare organisch gebundene Halogene (AOX) in </w:t>
          </w:r>
          <w:r>
            <w:rPr>
              <w:rFonts w:ascii="Arial" w:eastAsia="Times New Roman" w:hAnsi="Arial" w:cs="Arial"/>
              <w:b/>
              <w:szCs w:val="20"/>
              <w:lang w:eastAsia="de-DE"/>
            </w:rPr>
            <w:br/>
            <w:t>Wässern</w:t>
          </w:r>
        </w:p>
      </w:tc>
      <w:tc>
        <w:tcPr>
          <w:tcW w:w="1134" w:type="dxa"/>
          <w:tcBorders>
            <w:top w:val="single" w:sz="12" w:space="0" w:color="auto"/>
          </w:tcBorders>
          <w:vAlign w:val="center"/>
        </w:tcPr>
        <w:p w14:paraId="574EBF2A" w14:textId="77777777" w:rsidR="006C5BAF" w:rsidRDefault="00EA3C68">
          <w:pPr>
            <w:pStyle w:val="Kopfzeile"/>
            <w:spacing w:before="0" w:line="276" w:lineRule="auto"/>
            <w:jc w:val="center"/>
            <w:rPr>
              <w:rFonts w:ascii="Arial" w:hAnsi="Arial" w:cs="Arial"/>
              <w:b/>
              <w:sz w:val="32"/>
              <w:szCs w:val="32"/>
              <w:lang w:eastAsia="de-DE"/>
            </w:rPr>
          </w:pPr>
          <w:r>
            <w:rPr>
              <w:rFonts w:ascii="Arial" w:hAnsi="Arial" w:cs="Arial"/>
              <w:b/>
              <w:sz w:val="32"/>
              <w:szCs w:val="32"/>
              <w:lang w:eastAsia="de-DE"/>
            </w:rPr>
            <w:t>P-5</w:t>
          </w:r>
        </w:p>
      </w:tc>
    </w:tr>
  </w:tbl>
  <w:p w14:paraId="78574464" w14:textId="77777777" w:rsidR="006C5BAF" w:rsidRDefault="006C5BAF">
    <w:pPr>
      <w:pStyle w:val="Kopfzeile"/>
      <w:rPr>
        <w:rFonts w:eastAsia="Times New Roman"/>
        <w:b/>
        <w:lang w:eastAsia="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1" w:type="dxa"/>
        <w:right w:w="71" w:type="dxa"/>
      </w:tblCellMar>
      <w:tblLook w:val="0000" w:firstRow="0" w:lastRow="0" w:firstColumn="0" w:lastColumn="0" w:noHBand="0" w:noVBand="0"/>
    </w:tblPr>
    <w:tblGrid>
      <w:gridCol w:w="1134"/>
      <w:gridCol w:w="7030"/>
      <w:gridCol w:w="1134"/>
    </w:tblGrid>
    <w:tr w:rsidR="006C5BAF" w14:paraId="22E7E69F" w14:textId="77777777">
      <w:trPr>
        <w:cantSplit/>
        <w:trHeight w:hRule="exact" w:val="284"/>
        <w:jc w:val="center"/>
      </w:trPr>
      <w:tc>
        <w:tcPr>
          <w:tcW w:w="9298" w:type="dxa"/>
          <w:gridSpan w:val="3"/>
          <w:tcBorders>
            <w:top w:val="nil"/>
            <w:left w:val="nil"/>
            <w:bottom w:val="single" w:sz="12" w:space="0" w:color="auto"/>
            <w:right w:val="nil"/>
          </w:tcBorders>
          <w:vAlign w:val="center"/>
        </w:tcPr>
        <w:p w14:paraId="588289A8" w14:textId="1FA4F7BD" w:rsidR="006C5BAF" w:rsidRDefault="00665244" w:rsidP="00665244">
          <w:pPr>
            <w:pStyle w:val="Kopfzeile"/>
            <w:spacing w:before="0"/>
            <w:jc w:val="right"/>
            <w:rPr>
              <w:rFonts w:ascii="Arial" w:hAnsi="Arial" w:cs="Arial"/>
              <w:b/>
              <w:sz w:val="24"/>
              <w:szCs w:val="24"/>
              <w:lang w:eastAsia="de-DE"/>
            </w:rPr>
          </w:pPr>
          <w:r>
            <w:rPr>
              <w:rFonts w:ascii="Arial" w:hAnsi="Arial" w:cs="Arial"/>
              <w:b/>
              <w:sz w:val="24"/>
              <w:szCs w:val="24"/>
              <w:lang w:eastAsia="de-DE"/>
            </w:rPr>
            <w:t>Gelbdrucke</w:t>
          </w:r>
          <w:r w:rsidR="003E0A2B">
            <w:rPr>
              <w:rFonts w:ascii="Arial" w:hAnsi="Arial" w:cs="Arial"/>
              <w:b/>
              <w:sz w:val="24"/>
              <w:szCs w:val="24"/>
              <w:lang w:eastAsia="de-DE"/>
            </w:rPr>
            <w:t xml:space="preserve">ntwurf </w:t>
          </w:r>
        </w:p>
      </w:tc>
    </w:tr>
    <w:tr w:rsidR="006C5BAF" w14:paraId="0ED8C40E" w14:textId="77777777">
      <w:trPr>
        <w:cantSplit/>
        <w:trHeight w:hRule="exact" w:val="1134"/>
        <w:jc w:val="center"/>
      </w:trPr>
      <w:tc>
        <w:tcPr>
          <w:tcW w:w="1134" w:type="dxa"/>
          <w:tcBorders>
            <w:top w:val="single" w:sz="12" w:space="0" w:color="auto"/>
          </w:tcBorders>
          <w:vAlign w:val="center"/>
        </w:tcPr>
        <w:p w14:paraId="35872D84" w14:textId="329B234D" w:rsidR="006C5BAF" w:rsidRDefault="00E22D0E" w:rsidP="00E22D0E">
          <w:pPr>
            <w:pStyle w:val="Kopfzeile"/>
            <w:spacing w:before="0"/>
            <w:ind w:left="104"/>
            <w:jc w:val="center"/>
            <w:rPr>
              <w:rFonts w:ascii="Arial" w:hAnsi="Arial" w:cs="Arial"/>
              <w:lang w:eastAsia="de-DE"/>
            </w:rPr>
          </w:pPr>
          <w:r>
            <w:rPr>
              <w:rFonts w:ascii="Arial" w:hAnsi="Arial" w:cs="Arial"/>
              <w:lang w:eastAsia="de-DE"/>
            </w:rPr>
            <w:t>April</w:t>
          </w:r>
          <w:r w:rsidR="00EA3C68">
            <w:rPr>
              <w:rFonts w:ascii="Arial" w:hAnsi="Arial" w:cs="Arial"/>
              <w:lang w:eastAsia="de-DE"/>
            </w:rPr>
            <w:t xml:space="preserve"> 202</w:t>
          </w:r>
          <w:r>
            <w:rPr>
              <w:rFonts w:ascii="Arial" w:hAnsi="Arial" w:cs="Arial"/>
              <w:lang w:eastAsia="de-DE"/>
            </w:rPr>
            <w:t>2</w:t>
          </w:r>
        </w:p>
      </w:tc>
      <w:tc>
        <w:tcPr>
          <w:tcW w:w="7030" w:type="dxa"/>
          <w:tcBorders>
            <w:top w:val="single" w:sz="12" w:space="0" w:color="auto"/>
          </w:tcBorders>
        </w:tcPr>
        <w:p w14:paraId="1DE9ECEF" w14:textId="77777777" w:rsidR="006C5BAF" w:rsidRDefault="00EA3C68">
          <w:pPr>
            <w:pStyle w:val="Kopfzeile"/>
            <w:spacing w:before="60"/>
            <w:jc w:val="center"/>
            <w:rPr>
              <w:rFonts w:ascii="Arial" w:eastAsia="Times New Roman" w:hAnsi="Arial"/>
              <w:b/>
              <w:sz w:val="32"/>
              <w:szCs w:val="20"/>
              <w:lang w:eastAsia="de-DE"/>
            </w:rPr>
          </w:pPr>
          <w:r>
            <w:rPr>
              <w:rFonts w:ascii="Arial" w:eastAsia="Times New Roman" w:hAnsi="Arial"/>
              <w:b/>
              <w:sz w:val="32"/>
              <w:szCs w:val="20"/>
              <w:lang w:eastAsia="de-DE"/>
            </w:rPr>
            <w:t>AQS - Merkblatt</w:t>
          </w:r>
        </w:p>
        <w:p w14:paraId="32334758" w14:textId="77777777" w:rsidR="006C5BAF" w:rsidRDefault="00EA3C68">
          <w:pPr>
            <w:jc w:val="center"/>
            <w:rPr>
              <w:rFonts w:ascii="Arial" w:hAnsi="Arial"/>
              <w:b/>
              <w:lang w:eastAsia="de-DE"/>
            </w:rPr>
          </w:pPr>
          <w:r>
            <w:rPr>
              <w:rFonts w:eastAsia="Times New Roman"/>
              <w:i/>
              <w:sz w:val="20"/>
              <w:szCs w:val="20"/>
              <w:lang w:eastAsia="de-DE"/>
            </w:rPr>
            <w:t>zu den Rahmenempfehlungen der Bund/Länder-Arbeitsgemeinschaft Wasser (LAWA)</w:t>
          </w:r>
          <w:r>
            <w:rPr>
              <w:rFonts w:eastAsia="Times New Roman"/>
              <w:i/>
              <w:sz w:val="20"/>
              <w:szCs w:val="20"/>
              <w:lang w:eastAsia="de-DE"/>
            </w:rPr>
            <w:br/>
            <w:t>für die Qualitätssicherung bei Wasser-, Abwasser- und Schlammuntersuchungen</w:t>
          </w:r>
        </w:p>
      </w:tc>
      <w:tc>
        <w:tcPr>
          <w:tcW w:w="1134" w:type="dxa"/>
          <w:tcBorders>
            <w:top w:val="single" w:sz="12" w:space="0" w:color="auto"/>
          </w:tcBorders>
          <w:vAlign w:val="center"/>
        </w:tcPr>
        <w:p w14:paraId="7444CF7C" w14:textId="77777777" w:rsidR="006C5BAF" w:rsidRDefault="00EA3C68">
          <w:pPr>
            <w:pStyle w:val="Kopfzeile"/>
            <w:spacing w:before="0"/>
            <w:jc w:val="center"/>
            <w:rPr>
              <w:rFonts w:ascii="Arial" w:hAnsi="Arial" w:cs="Arial"/>
              <w:b/>
              <w:sz w:val="32"/>
              <w:szCs w:val="32"/>
              <w:lang w:eastAsia="de-DE"/>
            </w:rPr>
          </w:pPr>
          <w:r>
            <w:rPr>
              <w:rFonts w:ascii="Arial" w:hAnsi="Arial" w:cs="Arial"/>
              <w:b/>
              <w:sz w:val="32"/>
              <w:szCs w:val="32"/>
              <w:lang w:eastAsia="de-DE"/>
            </w:rPr>
            <w:t>P-5</w:t>
          </w:r>
        </w:p>
      </w:tc>
    </w:tr>
  </w:tbl>
  <w:p w14:paraId="2CE6183E" w14:textId="77777777" w:rsidR="006C5BAF" w:rsidRDefault="006C5BAF">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1" w:type="dxa"/>
        <w:right w:w="71" w:type="dxa"/>
      </w:tblCellMar>
      <w:tblLook w:val="0000" w:firstRow="0" w:lastRow="0" w:firstColumn="0" w:lastColumn="0" w:noHBand="0" w:noVBand="0"/>
    </w:tblPr>
    <w:tblGrid>
      <w:gridCol w:w="2127"/>
      <w:gridCol w:w="7030"/>
      <w:gridCol w:w="1333"/>
    </w:tblGrid>
    <w:tr w:rsidR="006C5BAF" w14:paraId="26CED0C1" w14:textId="77777777">
      <w:trPr>
        <w:cantSplit/>
        <w:trHeight w:hRule="exact" w:val="283"/>
        <w:jc w:val="center"/>
      </w:trPr>
      <w:tc>
        <w:tcPr>
          <w:tcW w:w="10490" w:type="dxa"/>
          <w:gridSpan w:val="3"/>
          <w:tcBorders>
            <w:top w:val="nil"/>
            <w:left w:val="nil"/>
            <w:bottom w:val="single" w:sz="12" w:space="0" w:color="auto"/>
            <w:right w:val="nil"/>
          </w:tcBorders>
          <w:vAlign w:val="center"/>
        </w:tcPr>
        <w:p w14:paraId="5ADE8CDD" w14:textId="77777777" w:rsidR="006C5BAF" w:rsidRDefault="006C5BAF">
          <w:pPr>
            <w:pStyle w:val="Kopfzeile"/>
            <w:spacing w:before="0"/>
            <w:jc w:val="right"/>
            <w:rPr>
              <w:rFonts w:ascii="Arial" w:hAnsi="Arial" w:cs="Arial"/>
              <w:b/>
              <w:sz w:val="24"/>
              <w:szCs w:val="24"/>
              <w:lang w:eastAsia="de-DE"/>
            </w:rPr>
          </w:pPr>
        </w:p>
      </w:tc>
    </w:tr>
    <w:tr w:rsidR="006C5BAF" w14:paraId="70428138" w14:textId="77777777">
      <w:trPr>
        <w:cantSplit/>
        <w:trHeight w:hRule="exact" w:val="1134"/>
        <w:jc w:val="center"/>
      </w:trPr>
      <w:tc>
        <w:tcPr>
          <w:tcW w:w="2127" w:type="dxa"/>
          <w:tcBorders>
            <w:top w:val="single" w:sz="12" w:space="0" w:color="auto"/>
          </w:tcBorders>
          <w:vAlign w:val="center"/>
        </w:tcPr>
        <w:p w14:paraId="672B471D" w14:textId="77777777" w:rsidR="006C5BAF" w:rsidRDefault="00EA3C68">
          <w:pPr>
            <w:tabs>
              <w:tab w:val="center" w:pos="4536"/>
              <w:tab w:val="right" w:pos="9072"/>
            </w:tabs>
            <w:spacing w:before="0" w:line="276" w:lineRule="auto"/>
            <w:jc w:val="center"/>
            <w:rPr>
              <w:rFonts w:ascii="Arial" w:hAnsi="Arial" w:cs="Arial"/>
              <w:b/>
              <w:sz w:val="32"/>
              <w:szCs w:val="32"/>
              <w:lang w:eastAsia="de-DE"/>
            </w:rPr>
          </w:pPr>
          <w:r>
            <w:rPr>
              <w:rFonts w:ascii="Arial" w:hAnsi="Arial" w:cs="Arial"/>
              <w:b/>
              <w:sz w:val="32"/>
              <w:szCs w:val="32"/>
              <w:lang w:eastAsia="de-DE"/>
            </w:rPr>
            <w:t>P-10/</w:t>
          </w:r>
          <w:r>
            <w:rPr>
              <w:rFonts w:ascii="Arial" w:hAnsi="Arial" w:cs="Arial"/>
              <w:sz w:val="28"/>
              <w:szCs w:val="28"/>
              <w:lang w:eastAsia="de-DE"/>
            </w:rPr>
            <w:t>1</w:t>
          </w:r>
        </w:p>
      </w:tc>
      <w:tc>
        <w:tcPr>
          <w:tcW w:w="7030" w:type="dxa"/>
          <w:tcBorders>
            <w:top w:val="single" w:sz="12" w:space="0" w:color="auto"/>
          </w:tcBorders>
          <w:vAlign w:val="center"/>
        </w:tcPr>
        <w:p w14:paraId="02541CEC" w14:textId="77777777" w:rsidR="006C5BAF" w:rsidRDefault="00EA3C68">
          <w:pPr>
            <w:tabs>
              <w:tab w:val="center" w:pos="4536"/>
              <w:tab w:val="right" w:pos="9072"/>
            </w:tabs>
            <w:spacing w:before="0"/>
            <w:ind w:left="102"/>
            <w:jc w:val="center"/>
            <w:rPr>
              <w:rFonts w:ascii="Arial" w:eastAsia="Times New Roman" w:hAnsi="Arial" w:cs="Arial"/>
              <w:b/>
              <w:szCs w:val="20"/>
              <w:lang w:eastAsia="de-DE"/>
            </w:rPr>
          </w:pPr>
          <w:r>
            <w:rPr>
              <w:rFonts w:ascii="Arial" w:eastAsia="Times New Roman" w:hAnsi="Arial" w:cs="Arial"/>
              <w:b/>
              <w:szCs w:val="20"/>
              <w:lang w:eastAsia="de-DE"/>
            </w:rPr>
            <w:t>Bestimmung von leichtflüchtigen organischen Verbindungen in Wässern mittels gaschromatographischer Verfahren</w:t>
          </w:r>
        </w:p>
      </w:tc>
      <w:tc>
        <w:tcPr>
          <w:tcW w:w="1333" w:type="dxa"/>
          <w:tcBorders>
            <w:top w:val="single" w:sz="12" w:space="0" w:color="auto"/>
          </w:tcBorders>
          <w:vAlign w:val="center"/>
        </w:tcPr>
        <w:p w14:paraId="6FE64719" w14:textId="77777777" w:rsidR="006C5BAF" w:rsidRDefault="00EA3C68">
          <w:pPr>
            <w:tabs>
              <w:tab w:val="center" w:pos="4536"/>
              <w:tab w:val="right" w:pos="9072"/>
            </w:tabs>
            <w:spacing w:before="0" w:line="276" w:lineRule="auto"/>
            <w:ind w:left="104"/>
            <w:jc w:val="center"/>
            <w:rPr>
              <w:rFonts w:ascii="Arial" w:hAnsi="Arial" w:cs="Arial"/>
              <w:lang w:eastAsia="de-DE"/>
            </w:rPr>
          </w:pPr>
          <w:r>
            <w:rPr>
              <w:rFonts w:ascii="Arial" w:hAnsi="Arial" w:cs="Arial"/>
              <w:lang w:eastAsia="de-DE"/>
            </w:rPr>
            <w:t>Mai 2021</w:t>
          </w:r>
        </w:p>
      </w:tc>
    </w:tr>
  </w:tbl>
  <w:p w14:paraId="42642AEB" w14:textId="77777777" w:rsidR="006C5BAF" w:rsidRDefault="006C5BAF">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1" w:type="dxa"/>
        <w:right w:w="71" w:type="dxa"/>
      </w:tblCellMar>
      <w:tblLook w:val="0000" w:firstRow="0" w:lastRow="0" w:firstColumn="0" w:lastColumn="0" w:noHBand="0" w:noVBand="0"/>
    </w:tblPr>
    <w:tblGrid>
      <w:gridCol w:w="1134"/>
      <w:gridCol w:w="7030"/>
      <w:gridCol w:w="1134"/>
    </w:tblGrid>
    <w:tr w:rsidR="006C5BAF" w14:paraId="15FBAFFE" w14:textId="77777777">
      <w:trPr>
        <w:cantSplit/>
        <w:trHeight w:hRule="exact" w:val="283"/>
        <w:jc w:val="center"/>
      </w:trPr>
      <w:tc>
        <w:tcPr>
          <w:tcW w:w="9298" w:type="dxa"/>
          <w:gridSpan w:val="3"/>
          <w:tcBorders>
            <w:top w:val="nil"/>
            <w:left w:val="nil"/>
            <w:bottom w:val="single" w:sz="12" w:space="0" w:color="auto"/>
            <w:right w:val="nil"/>
          </w:tcBorders>
          <w:vAlign w:val="center"/>
        </w:tcPr>
        <w:p w14:paraId="075654B1" w14:textId="77777777" w:rsidR="006C5BAF" w:rsidRDefault="006C5BAF">
          <w:pPr>
            <w:pStyle w:val="Kopfzeile"/>
            <w:spacing w:before="0" w:line="276" w:lineRule="auto"/>
            <w:jc w:val="right"/>
            <w:rPr>
              <w:rFonts w:ascii="Arial" w:hAnsi="Arial" w:cs="Arial"/>
              <w:b/>
              <w:sz w:val="24"/>
              <w:szCs w:val="24"/>
              <w:lang w:eastAsia="de-DE"/>
            </w:rPr>
          </w:pPr>
        </w:p>
      </w:tc>
    </w:tr>
    <w:tr w:rsidR="006C5BAF" w14:paraId="5CFD6323" w14:textId="77777777">
      <w:trPr>
        <w:cantSplit/>
        <w:trHeight w:hRule="exact" w:val="1134"/>
        <w:jc w:val="center"/>
      </w:trPr>
      <w:tc>
        <w:tcPr>
          <w:tcW w:w="1134" w:type="dxa"/>
          <w:tcBorders>
            <w:top w:val="single" w:sz="12" w:space="0" w:color="auto"/>
          </w:tcBorders>
          <w:vAlign w:val="center"/>
        </w:tcPr>
        <w:p w14:paraId="739B64C2" w14:textId="77777777" w:rsidR="006C5BAF" w:rsidRDefault="00EA3C68">
          <w:pPr>
            <w:pStyle w:val="Kopfzeile"/>
            <w:spacing w:before="0" w:line="276" w:lineRule="auto"/>
            <w:ind w:left="104"/>
            <w:jc w:val="center"/>
            <w:rPr>
              <w:rFonts w:ascii="Arial" w:hAnsi="Arial" w:cs="Arial"/>
              <w:lang w:eastAsia="de-DE"/>
            </w:rPr>
          </w:pPr>
          <w:r>
            <w:rPr>
              <w:rFonts w:ascii="Arial" w:hAnsi="Arial" w:cs="Arial"/>
              <w:lang w:eastAsia="de-DE"/>
            </w:rPr>
            <w:t>Sept. 2021</w:t>
          </w:r>
        </w:p>
      </w:tc>
      <w:tc>
        <w:tcPr>
          <w:tcW w:w="7030" w:type="dxa"/>
          <w:tcBorders>
            <w:top w:val="single" w:sz="12" w:space="0" w:color="auto"/>
          </w:tcBorders>
          <w:vAlign w:val="center"/>
        </w:tcPr>
        <w:p w14:paraId="2B755D3D" w14:textId="77777777" w:rsidR="006C5BAF" w:rsidRDefault="00EA3C68">
          <w:pPr>
            <w:pStyle w:val="Kopfzeile"/>
            <w:spacing w:before="0"/>
            <w:ind w:left="102"/>
            <w:jc w:val="center"/>
            <w:rPr>
              <w:rFonts w:ascii="Arial" w:eastAsia="Times New Roman" w:hAnsi="Arial" w:cs="Arial"/>
              <w:b/>
              <w:szCs w:val="20"/>
              <w:lang w:eastAsia="de-DE"/>
            </w:rPr>
          </w:pPr>
          <w:r>
            <w:rPr>
              <w:rFonts w:ascii="Arial" w:eastAsia="Times New Roman" w:hAnsi="Arial" w:cs="Arial"/>
              <w:b/>
              <w:szCs w:val="20"/>
              <w:lang w:eastAsia="de-DE"/>
            </w:rPr>
            <w:t xml:space="preserve">Adsorbierbare organisch gebundene Halogene (AOX) in </w:t>
          </w:r>
          <w:r>
            <w:rPr>
              <w:rFonts w:ascii="Arial" w:eastAsia="Times New Roman" w:hAnsi="Arial" w:cs="Arial"/>
              <w:b/>
              <w:szCs w:val="20"/>
              <w:lang w:eastAsia="de-DE"/>
            </w:rPr>
            <w:br/>
            <w:t>Wässern</w:t>
          </w:r>
        </w:p>
      </w:tc>
      <w:tc>
        <w:tcPr>
          <w:tcW w:w="1134" w:type="dxa"/>
          <w:tcBorders>
            <w:top w:val="single" w:sz="12" w:space="0" w:color="auto"/>
          </w:tcBorders>
          <w:vAlign w:val="center"/>
        </w:tcPr>
        <w:p w14:paraId="5086C341" w14:textId="77777777" w:rsidR="006C5BAF" w:rsidRDefault="00EA3C68">
          <w:pPr>
            <w:pStyle w:val="Kopfzeile"/>
            <w:spacing w:before="0" w:line="276" w:lineRule="auto"/>
            <w:jc w:val="center"/>
            <w:rPr>
              <w:rFonts w:ascii="Arial" w:hAnsi="Arial" w:cs="Arial"/>
              <w:b/>
              <w:sz w:val="32"/>
              <w:szCs w:val="32"/>
              <w:lang w:eastAsia="de-DE"/>
            </w:rPr>
          </w:pPr>
          <w:r>
            <w:rPr>
              <w:rFonts w:ascii="Arial" w:hAnsi="Arial" w:cs="Arial"/>
              <w:b/>
              <w:sz w:val="32"/>
              <w:szCs w:val="32"/>
              <w:lang w:eastAsia="de-DE"/>
            </w:rPr>
            <w:t>P-5</w:t>
          </w:r>
        </w:p>
      </w:tc>
    </w:tr>
  </w:tbl>
  <w:p w14:paraId="7FD11D56" w14:textId="77777777" w:rsidR="006C5BAF" w:rsidRDefault="006C5BAF">
    <w:pPr>
      <w:pStyle w:val="Kopfzeile"/>
      <w:rPr>
        <w:rFonts w:eastAsia="Times New Roman"/>
        <w:b/>
        <w:lang w:eastAsia="de-D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89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1" w:type="dxa"/>
        <w:right w:w="71" w:type="dxa"/>
      </w:tblCellMar>
      <w:tblLook w:val="0000" w:firstRow="0" w:lastRow="0" w:firstColumn="0" w:lastColumn="0" w:noHBand="0" w:noVBand="0"/>
    </w:tblPr>
    <w:tblGrid>
      <w:gridCol w:w="2976"/>
      <w:gridCol w:w="709"/>
      <w:gridCol w:w="2976"/>
      <w:gridCol w:w="3687"/>
      <w:gridCol w:w="3544"/>
    </w:tblGrid>
    <w:tr w:rsidR="006C5BAF" w14:paraId="0252DE6E" w14:textId="77777777">
      <w:trPr>
        <w:gridBefore w:val="1"/>
        <w:gridAfter w:val="2"/>
        <w:wBefore w:w="2976" w:type="dxa"/>
        <w:wAfter w:w="7231" w:type="dxa"/>
        <w:cantSplit/>
        <w:trHeight w:hRule="exact" w:val="283"/>
        <w:jc w:val="center"/>
      </w:trPr>
      <w:tc>
        <w:tcPr>
          <w:tcW w:w="3685" w:type="dxa"/>
          <w:gridSpan w:val="2"/>
          <w:tcBorders>
            <w:top w:val="nil"/>
            <w:left w:val="nil"/>
            <w:bottom w:val="single" w:sz="12" w:space="0" w:color="auto"/>
            <w:right w:val="nil"/>
          </w:tcBorders>
          <w:vAlign w:val="center"/>
        </w:tcPr>
        <w:p w14:paraId="2D03B566" w14:textId="77777777" w:rsidR="006C5BAF" w:rsidRDefault="006C5BAF">
          <w:pPr>
            <w:tabs>
              <w:tab w:val="center" w:pos="4536"/>
              <w:tab w:val="right" w:pos="9072"/>
            </w:tabs>
            <w:spacing w:before="0" w:line="276" w:lineRule="auto"/>
            <w:jc w:val="right"/>
            <w:rPr>
              <w:rFonts w:ascii="Arial" w:hAnsi="Arial" w:cs="Arial"/>
              <w:b/>
              <w:sz w:val="24"/>
              <w:szCs w:val="24"/>
              <w:lang w:eastAsia="de-DE"/>
            </w:rPr>
          </w:pPr>
        </w:p>
      </w:tc>
    </w:tr>
    <w:tr w:rsidR="006C5BAF" w14:paraId="66668E03" w14:textId="77777777">
      <w:trPr>
        <w:cantSplit/>
        <w:trHeight w:hRule="exact" w:val="1134"/>
        <w:jc w:val="center"/>
      </w:trPr>
      <w:tc>
        <w:tcPr>
          <w:tcW w:w="3685" w:type="dxa"/>
          <w:gridSpan w:val="2"/>
          <w:tcBorders>
            <w:top w:val="single" w:sz="12" w:space="0" w:color="auto"/>
          </w:tcBorders>
          <w:vAlign w:val="center"/>
        </w:tcPr>
        <w:p w14:paraId="402BC34E" w14:textId="77777777" w:rsidR="006C5BAF" w:rsidRDefault="00EA3C68">
          <w:pPr>
            <w:tabs>
              <w:tab w:val="center" w:pos="4536"/>
              <w:tab w:val="right" w:pos="9072"/>
            </w:tabs>
            <w:spacing w:before="0" w:line="276" w:lineRule="auto"/>
            <w:jc w:val="center"/>
            <w:rPr>
              <w:rFonts w:ascii="Arial" w:hAnsi="Arial" w:cs="Arial"/>
              <w:lang w:eastAsia="de-DE"/>
            </w:rPr>
          </w:pPr>
          <w:r>
            <w:rPr>
              <w:rFonts w:ascii="Arial" w:hAnsi="Arial" w:cs="Arial"/>
              <w:lang w:eastAsia="de-DE"/>
            </w:rPr>
            <w:t>Sept. 2021</w:t>
          </w:r>
        </w:p>
      </w:tc>
      <w:tc>
        <w:tcPr>
          <w:tcW w:w="6663" w:type="dxa"/>
          <w:gridSpan w:val="2"/>
          <w:tcBorders>
            <w:top w:val="single" w:sz="12" w:space="0" w:color="auto"/>
          </w:tcBorders>
          <w:vAlign w:val="center"/>
        </w:tcPr>
        <w:p w14:paraId="69F05AA8" w14:textId="77777777" w:rsidR="006C5BAF" w:rsidRDefault="00EA3C68">
          <w:pPr>
            <w:tabs>
              <w:tab w:val="center" w:pos="4536"/>
              <w:tab w:val="right" w:pos="9072"/>
            </w:tabs>
            <w:spacing w:before="0"/>
            <w:ind w:left="358"/>
            <w:jc w:val="center"/>
            <w:rPr>
              <w:rFonts w:ascii="Arial" w:eastAsia="Times New Roman" w:hAnsi="Arial" w:cs="Arial"/>
              <w:b/>
              <w:szCs w:val="20"/>
              <w:lang w:eastAsia="de-DE"/>
            </w:rPr>
          </w:pPr>
          <w:r>
            <w:rPr>
              <w:rFonts w:ascii="Arial" w:eastAsia="Times New Roman" w:hAnsi="Arial" w:cs="Arial"/>
              <w:b/>
              <w:szCs w:val="20"/>
              <w:lang w:eastAsia="de-DE"/>
            </w:rPr>
            <w:t xml:space="preserve">Adsorbierbare organisch gebundene Halogene (AOX) in </w:t>
          </w:r>
          <w:r>
            <w:rPr>
              <w:rFonts w:ascii="Arial" w:eastAsia="Times New Roman" w:hAnsi="Arial" w:cs="Arial"/>
              <w:b/>
              <w:szCs w:val="20"/>
              <w:lang w:eastAsia="de-DE"/>
            </w:rPr>
            <w:br/>
            <w:t>Wässern</w:t>
          </w:r>
        </w:p>
      </w:tc>
      <w:tc>
        <w:tcPr>
          <w:tcW w:w="3544" w:type="dxa"/>
          <w:tcBorders>
            <w:top w:val="single" w:sz="12" w:space="0" w:color="auto"/>
          </w:tcBorders>
          <w:vAlign w:val="center"/>
        </w:tcPr>
        <w:p w14:paraId="44D2CF46" w14:textId="77777777" w:rsidR="006C5BAF" w:rsidRDefault="00EA3C68">
          <w:pPr>
            <w:tabs>
              <w:tab w:val="center" w:pos="4536"/>
              <w:tab w:val="right" w:pos="9072"/>
            </w:tabs>
            <w:spacing w:before="0" w:line="276" w:lineRule="auto"/>
            <w:ind w:left="-355" w:firstLine="355"/>
            <w:jc w:val="center"/>
            <w:rPr>
              <w:rFonts w:ascii="Arial" w:hAnsi="Arial" w:cs="Arial"/>
              <w:b/>
              <w:sz w:val="32"/>
              <w:szCs w:val="32"/>
              <w:lang w:eastAsia="de-DE"/>
            </w:rPr>
          </w:pPr>
          <w:r>
            <w:rPr>
              <w:rFonts w:ascii="Arial" w:hAnsi="Arial" w:cs="Arial"/>
              <w:b/>
              <w:sz w:val="32"/>
              <w:szCs w:val="32"/>
              <w:lang w:eastAsia="de-DE"/>
            </w:rPr>
            <w:t>P-5</w:t>
          </w:r>
        </w:p>
      </w:tc>
    </w:tr>
  </w:tbl>
  <w:p w14:paraId="07630447" w14:textId="77777777" w:rsidR="006C5BAF" w:rsidRDefault="006C5BA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AD0E79"/>
    <w:multiLevelType w:val="hybridMultilevel"/>
    <w:tmpl w:val="CE868874"/>
    <w:lvl w:ilvl="0" w:tplc="C6543C62">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0E365D77"/>
    <w:multiLevelType w:val="hybridMultilevel"/>
    <w:tmpl w:val="D59EBC34"/>
    <w:lvl w:ilvl="0" w:tplc="92E4BE6E">
      <w:start w:val="1"/>
      <w:numFmt w:val="lowerLetter"/>
      <w:lvlText w:val="%1)"/>
      <w:lvlJc w:val="left"/>
      <w:pPr>
        <w:tabs>
          <w:tab w:val="num" w:pos="720"/>
        </w:tabs>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D0C0E7D"/>
    <w:multiLevelType w:val="hybridMultilevel"/>
    <w:tmpl w:val="706C6B58"/>
    <w:lvl w:ilvl="0" w:tplc="4D3A2596">
      <w:start w:val="1"/>
      <w:numFmt w:val="lowerLetter"/>
      <w:lvlText w:val="%1)"/>
      <w:lvlJc w:val="left"/>
      <w:pPr>
        <w:tabs>
          <w:tab w:val="num" w:pos="720"/>
        </w:tabs>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24661CC8"/>
    <w:multiLevelType w:val="hybridMultilevel"/>
    <w:tmpl w:val="ED3A8004"/>
    <w:lvl w:ilvl="0" w:tplc="C5584636">
      <w:start w:val="6"/>
      <w:numFmt w:val="bullet"/>
      <w:lvlText w:val="-"/>
      <w:lvlJc w:val="left"/>
      <w:pPr>
        <w:ind w:left="644" w:hanging="360"/>
      </w:pPr>
      <w:rPr>
        <w:rFonts w:ascii="Times New Roman" w:eastAsia="Times New Roman" w:hAnsi="Times New Roman" w:cs="Times New Roman" w:hint="default"/>
      </w:rPr>
    </w:lvl>
    <w:lvl w:ilvl="1" w:tplc="04070003">
      <w:start w:val="1"/>
      <w:numFmt w:val="bullet"/>
      <w:lvlText w:val="o"/>
      <w:lvlJc w:val="left"/>
      <w:pPr>
        <w:ind w:left="1364" w:hanging="360"/>
      </w:pPr>
      <w:rPr>
        <w:rFonts w:ascii="Courier New" w:hAnsi="Courier New" w:cs="Courier New" w:hint="default"/>
      </w:rPr>
    </w:lvl>
    <w:lvl w:ilvl="2" w:tplc="04070005">
      <w:start w:val="1"/>
      <w:numFmt w:val="bullet"/>
      <w:lvlText w:val=""/>
      <w:lvlJc w:val="left"/>
      <w:pPr>
        <w:ind w:left="2084" w:hanging="360"/>
      </w:pPr>
      <w:rPr>
        <w:rFonts w:ascii="Wingdings" w:hAnsi="Wingdings" w:hint="default"/>
      </w:rPr>
    </w:lvl>
    <w:lvl w:ilvl="3" w:tplc="04070001">
      <w:start w:val="1"/>
      <w:numFmt w:val="bullet"/>
      <w:lvlText w:val=""/>
      <w:lvlJc w:val="left"/>
      <w:pPr>
        <w:ind w:left="2804" w:hanging="360"/>
      </w:pPr>
      <w:rPr>
        <w:rFonts w:ascii="Symbol" w:hAnsi="Symbol" w:hint="default"/>
      </w:rPr>
    </w:lvl>
    <w:lvl w:ilvl="4" w:tplc="04070003">
      <w:start w:val="1"/>
      <w:numFmt w:val="bullet"/>
      <w:lvlText w:val="o"/>
      <w:lvlJc w:val="left"/>
      <w:pPr>
        <w:ind w:left="3524" w:hanging="360"/>
      </w:pPr>
      <w:rPr>
        <w:rFonts w:ascii="Courier New" w:hAnsi="Courier New" w:cs="Courier New" w:hint="default"/>
      </w:rPr>
    </w:lvl>
    <w:lvl w:ilvl="5" w:tplc="04070005">
      <w:start w:val="1"/>
      <w:numFmt w:val="bullet"/>
      <w:lvlText w:val=""/>
      <w:lvlJc w:val="left"/>
      <w:pPr>
        <w:ind w:left="4244" w:hanging="360"/>
      </w:pPr>
      <w:rPr>
        <w:rFonts w:ascii="Wingdings" w:hAnsi="Wingdings" w:hint="default"/>
      </w:rPr>
    </w:lvl>
    <w:lvl w:ilvl="6" w:tplc="04070001">
      <w:start w:val="1"/>
      <w:numFmt w:val="bullet"/>
      <w:lvlText w:val=""/>
      <w:lvlJc w:val="left"/>
      <w:pPr>
        <w:ind w:left="4964" w:hanging="360"/>
      </w:pPr>
      <w:rPr>
        <w:rFonts w:ascii="Symbol" w:hAnsi="Symbol" w:hint="default"/>
      </w:rPr>
    </w:lvl>
    <w:lvl w:ilvl="7" w:tplc="04070003">
      <w:start w:val="1"/>
      <w:numFmt w:val="bullet"/>
      <w:lvlText w:val="o"/>
      <w:lvlJc w:val="left"/>
      <w:pPr>
        <w:ind w:left="5684" w:hanging="360"/>
      </w:pPr>
      <w:rPr>
        <w:rFonts w:ascii="Courier New" w:hAnsi="Courier New" w:cs="Courier New" w:hint="default"/>
      </w:rPr>
    </w:lvl>
    <w:lvl w:ilvl="8" w:tplc="04070005">
      <w:start w:val="1"/>
      <w:numFmt w:val="bullet"/>
      <w:lvlText w:val=""/>
      <w:lvlJc w:val="left"/>
      <w:pPr>
        <w:ind w:left="6404" w:hanging="360"/>
      </w:pPr>
      <w:rPr>
        <w:rFonts w:ascii="Wingdings" w:hAnsi="Wingdings" w:hint="default"/>
      </w:rPr>
    </w:lvl>
  </w:abstractNum>
  <w:abstractNum w:abstractNumId="5" w15:restartNumberingAfterBreak="0">
    <w:nsid w:val="30A1429D"/>
    <w:multiLevelType w:val="singleLevel"/>
    <w:tmpl w:val="84703B1E"/>
    <w:lvl w:ilvl="0">
      <w:start w:val="1"/>
      <w:numFmt w:val="lowerLetter"/>
      <w:lvlText w:val="%1)"/>
      <w:legacy w:legacy="1" w:legacySpace="0" w:legacyIndent="283"/>
      <w:lvlJc w:val="left"/>
      <w:pPr>
        <w:ind w:left="567" w:hanging="283"/>
      </w:pPr>
    </w:lvl>
  </w:abstractNum>
  <w:abstractNum w:abstractNumId="6" w15:restartNumberingAfterBreak="0">
    <w:nsid w:val="32244E2C"/>
    <w:multiLevelType w:val="hybridMultilevel"/>
    <w:tmpl w:val="4C5CC5B0"/>
    <w:lvl w:ilvl="0" w:tplc="BFF8068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32548B9"/>
    <w:multiLevelType w:val="hybridMultilevel"/>
    <w:tmpl w:val="4F9EF416"/>
    <w:lvl w:ilvl="0" w:tplc="A54A8F40">
      <w:start w:val="1"/>
      <w:numFmt w:val="bullet"/>
      <w:lvlText w:val="–"/>
      <w:lvlJc w:val="left"/>
      <w:pPr>
        <w:ind w:left="1637" w:hanging="360"/>
      </w:pPr>
      <w:rPr>
        <w:rFonts w:ascii="Arial" w:hAnsi="Arial"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33870E6E"/>
    <w:multiLevelType w:val="hybridMultilevel"/>
    <w:tmpl w:val="2D187F22"/>
    <w:lvl w:ilvl="0" w:tplc="27100B48">
      <w:start w:val="1"/>
      <w:numFmt w:val="bullet"/>
      <w:pStyle w:val="Hypothese"/>
      <w:lvlText w:val=""/>
      <w:lvlJc w:val="left"/>
      <w:pPr>
        <w:tabs>
          <w:tab w:val="num" w:pos="1065"/>
        </w:tabs>
        <w:ind w:left="1065" w:hanging="360"/>
      </w:pPr>
      <w:rPr>
        <w:rFonts w:ascii="Symbol" w:hAnsi="Symbol" w:hint="default"/>
      </w:rPr>
    </w:lvl>
    <w:lvl w:ilvl="1" w:tplc="04070003">
      <w:start w:val="1"/>
      <w:numFmt w:val="bullet"/>
      <w:lvlText w:val="o"/>
      <w:lvlJc w:val="left"/>
      <w:pPr>
        <w:tabs>
          <w:tab w:val="num" w:pos="1785"/>
        </w:tabs>
        <w:ind w:left="1785" w:hanging="360"/>
      </w:pPr>
      <w:rPr>
        <w:rFonts w:ascii="Courier New" w:hAnsi="Courier New" w:cs="Courier New" w:hint="default"/>
      </w:rPr>
    </w:lvl>
    <w:lvl w:ilvl="2" w:tplc="04070005">
      <w:start w:val="1"/>
      <w:numFmt w:val="bullet"/>
      <w:lvlText w:val=""/>
      <w:lvlJc w:val="left"/>
      <w:pPr>
        <w:tabs>
          <w:tab w:val="num" w:pos="2505"/>
        </w:tabs>
        <w:ind w:left="2505" w:hanging="360"/>
      </w:pPr>
      <w:rPr>
        <w:rFonts w:ascii="Wingdings" w:hAnsi="Wingdings" w:hint="default"/>
      </w:rPr>
    </w:lvl>
    <w:lvl w:ilvl="3" w:tplc="04070001">
      <w:start w:val="1"/>
      <w:numFmt w:val="bullet"/>
      <w:lvlText w:val=""/>
      <w:lvlJc w:val="left"/>
      <w:pPr>
        <w:tabs>
          <w:tab w:val="num" w:pos="3225"/>
        </w:tabs>
        <w:ind w:left="3225" w:hanging="360"/>
      </w:pPr>
      <w:rPr>
        <w:rFonts w:ascii="Symbol" w:hAnsi="Symbol" w:hint="default"/>
      </w:rPr>
    </w:lvl>
    <w:lvl w:ilvl="4" w:tplc="04070003">
      <w:start w:val="1"/>
      <w:numFmt w:val="bullet"/>
      <w:lvlText w:val="o"/>
      <w:lvlJc w:val="left"/>
      <w:pPr>
        <w:tabs>
          <w:tab w:val="num" w:pos="3945"/>
        </w:tabs>
        <w:ind w:left="3945" w:hanging="360"/>
      </w:pPr>
      <w:rPr>
        <w:rFonts w:ascii="Courier New" w:hAnsi="Courier New" w:cs="Courier New" w:hint="default"/>
      </w:rPr>
    </w:lvl>
    <w:lvl w:ilvl="5" w:tplc="04070005">
      <w:start w:val="1"/>
      <w:numFmt w:val="bullet"/>
      <w:lvlText w:val=""/>
      <w:lvlJc w:val="left"/>
      <w:pPr>
        <w:tabs>
          <w:tab w:val="num" w:pos="4665"/>
        </w:tabs>
        <w:ind w:left="4665" w:hanging="360"/>
      </w:pPr>
      <w:rPr>
        <w:rFonts w:ascii="Wingdings" w:hAnsi="Wingdings" w:hint="default"/>
      </w:rPr>
    </w:lvl>
    <w:lvl w:ilvl="6" w:tplc="04070001">
      <w:start w:val="1"/>
      <w:numFmt w:val="bullet"/>
      <w:lvlText w:val=""/>
      <w:lvlJc w:val="left"/>
      <w:pPr>
        <w:tabs>
          <w:tab w:val="num" w:pos="5385"/>
        </w:tabs>
        <w:ind w:left="5385" w:hanging="360"/>
      </w:pPr>
      <w:rPr>
        <w:rFonts w:ascii="Symbol" w:hAnsi="Symbol" w:hint="default"/>
      </w:rPr>
    </w:lvl>
    <w:lvl w:ilvl="7" w:tplc="04070003">
      <w:start w:val="1"/>
      <w:numFmt w:val="bullet"/>
      <w:lvlText w:val="o"/>
      <w:lvlJc w:val="left"/>
      <w:pPr>
        <w:tabs>
          <w:tab w:val="num" w:pos="6105"/>
        </w:tabs>
        <w:ind w:left="6105" w:hanging="360"/>
      </w:pPr>
      <w:rPr>
        <w:rFonts w:ascii="Courier New" w:hAnsi="Courier New" w:cs="Courier New" w:hint="default"/>
      </w:rPr>
    </w:lvl>
    <w:lvl w:ilvl="8" w:tplc="04070005">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5B64A44"/>
    <w:multiLevelType w:val="hybridMultilevel"/>
    <w:tmpl w:val="C2A0F332"/>
    <w:lvl w:ilvl="0" w:tplc="8398D24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0D444D"/>
    <w:multiLevelType w:val="hybridMultilevel"/>
    <w:tmpl w:val="EC763214"/>
    <w:lvl w:ilvl="0" w:tplc="A15CC3C8">
      <w:start w:val="2"/>
      <w:numFmt w:val="lowerLetter"/>
      <w:lvlText w:val="%1)"/>
      <w:lvlJc w:val="left"/>
      <w:pPr>
        <w:tabs>
          <w:tab w:val="num" w:pos="720"/>
        </w:tabs>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3D2453FF"/>
    <w:multiLevelType w:val="singleLevel"/>
    <w:tmpl w:val="BFF8068E"/>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3EFD3B12"/>
    <w:multiLevelType w:val="hybridMultilevel"/>
    <w:tmpl w:val="D32023F0"/>
    <w:lvl w:ilvl="0" w:tplc="FFFFFFFF">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3" w15:restartNumberingAfterBreak="0">
    <w:nsid w:val="3F4E4A0E"/>
    <w:multiLevelType w:val="hybridMultilevel"/>
    <w:tmpl w:val="7992644C"/>
    <w:lvl w:ilvl="0" w:tplc="BFF8068E">
      <w:start w:val="1"/>
      <w:numFmt w:val="bullet"/>
      <w:lvlText w:val=""/>
      <w:lvlJc w:val="left"/>
      <w:pPr>
        <w:ind w:left="777" w:hanging="360"/>
      </w:pPr>
      <w:rPr>
        <w:rFonts w:ascii="Symbol" w:hAnsi="Symbol"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14" w15:restartNumberingAfterBreak="0">
    <w:nsid w:val="431A73F2"/>
    <w:multiLevelType w:val="hybridMultilevel"/>
    <w:tmpl w:val="1D48CFE6"/>
    <w:lvl w:ilvl="0" w:tplc="04070009">
      <w:start w:val="1"/>
      <w:numFmt w:val="bullet"/>
      <w:lvlText w:val=""/>
      <w:lvlJc w:val="left"/>
      <w:pPr>
        <w:tabs>
          <w:tab w:val="num" w:pos="1711"/>
        </w:tabs>
        <w:ind w:left="1711" w:hanging="360"/>
      </w:pPr>
      <w:rPr>
        <w:rFonts w:ascii="Wingdings" w:hAnsi="Wingdings" w:hint="default"/>
      </w:rPr>
    </w:lvl>
    <w:lvl w:ilvl="1" w:tplc="933038DA">
      <w:numFmt w:val="bullet"/>
      <w:lvlText w:val="-"/>
      <w:lvlJc w:val="left"/>
      <w:pPr>
        <w:tabs>
          <w:tab w:val="num" w:pos="2431"/>
        </w:tabs>
        <w:ind w:left="2431" w:hanging="360"/>
      </w:pPr>
      <w:rPr>
        <w:rFonts w:ascii="Times New Roman" w:eastAsia="Times New Roman" w:hAnsi="Times New Roman" w:cs="Times New Roman" w:hint="default"/>
      </w:rPr>
    </w:lvl>
    <w:lvl w:ilvl="2" w:tplc="04070005">
      <w:start w:val="1"/>
      <w:numFmt w:val="bullet"/>
      <w:lvlText w:val=""/>
      <w:lvlJc w:val="left"/>
      <w:pPr>
        <w:ind w:left="3151" w:hanging="360"/>
      </w:pPr>
      <w:rPr>
        <w:rFonts w:ascii="Wingdings" w:hAnsi="Wingdings" w:hint="default"/>
      </w:rPr>
    </w:lvl>
    <w:lvl w:ilvl="3" w:tplc="04070001">
      <w:start w:val="1"/>
      <w:numFmt w:val="bullet"/>
      <w:lvlText w:val=""/>
      <w:lvlJc w:val="left"/>
      <w:pPr>
        <w:ind w:left="3871" w:hanging="360"/>
      </w:pPr>
      <w:rPr>
        <w:rFonts w:ascii="Symbol" w:hAnsi="Symbol" w:hint="default"/>
      </w:rPr>
    </w:lvl>
    <w:lvl w:ilvl="4" w:tplc="04070003">
      <w:start w:val="1"/>
      <w:numFmt w:val="bullet"/>
      <w:lvlText w:val="o"/>
      <w:lvlJc w:val="left"/>
      <w:pPr>
        <w:ind w:left="4591" w:hanging="360"/>
      </w:pPr>
      <w:rPr>
        <w:rFonts w:ascii="Courier New" w:hAnsi="Courier New" w:cs="Courier New" w:hint="default"/>
      </w:rPr>
    </w:lvl>
    <w:lvl w:ilvl="5" w:tplc="04070005">
      <w:start w:val="1"/>
      <w:numFmt w:val="bullet"/>
      <w:lvlText w:val=""/>
      <w:lvlJc w:val="left"/>
      <w:pPr>
        <w:ind w:left="5311" w:hanging="360"/>
      </w:pPr>
      <w:rPr>
        <w:rFonts w:ascii="Wingdings" w:hAnsi="Wingdings" w:hint="default"/>
      </w:rPr>
    </w:lvl>
    <w:lvl w:ilvl="6" w:tplc="04070001">
      <w:start w:val="1"/>
      <w:numFmt w:val="bullet"/>
      <w:lvlText w:val=""/>
      <w:lvlJc w:val="left"/>
      <w:pPr>
        <w:ind w:left="6031" w:hanging="360"/>
      </w:pPr>
      <w:rPr>
        <w:rFonts w:ascii="Symbol" w:hAnsi="Symbol" w:hint="default"/>
      </w:rPr>
    </w:lvl>
    <w:lvl w:ilvl="7" w:tplc="04070003">
      <w:start w:val="1"/>
      <w:numFmt w:val="bullet"/>
      <w:lvlText w:val="o"/>
      <w:lvlJc w:val="left"/>
      <w:pPr>
        <w:ind w:left="6751" w:hanging="360"/>
      </w:pPr>
      <w:rPr>
        <w:rFonts w:ascii="Courier New" w:hAnsi="Courier New" w:cs="Courier New" w:hint="default"/>
      </w:rPr>
    </w:lvl>
    <w:lvl w:ilvl="8" w:tplc="04070005">
      <w:start w:val="1"/>
      <w:numFmt w:val="bullet"/>
      <w:lvlText w:val=""/>
      <w:lvlJc w:val="left"/>
      <w:pPr>
        <w:ind w:left="7471" w:hanging="360"/>
      </w:pPr>
      <w:rPr>
        <w:rFonts w:ascii="Wingdings" w:hAnsi="Wingdings" w:hint="default"/>
      </w:rPr>
    </w:lvl>
  </w:abstractNum>
  <w:abstractNum w:abstractNumId="15" w15:restartNumberingAfterBreak="0">
    <w:nsid w:val="574A6FBC"/>
    <w:multiLevelType w:val="multilevel"/>
    <w:tmpl w:val="094AAC78"/>
    <w:lvl w:ilvl="0">
      <w:start w:val="1"/>
      <w:numFmt w:val="decimal"/>
      <w:pStyle w:val="berschrift1"/>
      <w:lvlText w:val="%1"/>
      <w:lvlJc w:val="left"/>
      <w:pPr>
        <w:ind w:left="720" w:hanging="360"/>
      </w:pPr>
      <w:rPr>
        <w:rFonts w:hint="default"/>
      </w:rPr>
    </w:lvl>
    <w:lvl w:ilvl="1">
      <w:start w:val="2"/>
      <w:numFmt w:val="decimal"/>
      <w:isLgl/>
      <w:lvlText w:val="%1.%2"/>
      <w:lvlJc w:val="left"/>
      <w:pPr>
        <w:ind w:left="931" w:hanging="571"/>
      </w:pPr>
      <w:rPr>
        <w:rFonts w:hint="default"/>
        <w:b/>
      </w:rPr>
    </w:lvl>
    <w:lvl w:ilvl="2">
      <w:start w:val="1"/>
      <w:numFmt w:val="decimal"/>
      <w:isLgl/>
      <w:lvlText w:val="%1.%2.%3"/>
      <w:lvlJc w:val="left"/>
      <w:pPr>
        <w:ind w:left="1080" w:hanging="720"/>
      </w:pPr>
      <w:rPr>
        <w:rFonts w:ascii="Arial" w:hAnsi="Arial" w:cs="Arial"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6" w15:restartNumberingAfterBreak="0">
    <w:nsid w:val="579B1640"/>
    <w:multiLevelType w:val="hybridMultilevel"/>
    <w:tmpl w:val="BE2AC252"/>
    <w:lvl w:ilvl="0" w:tplc="49CA1CF2">
      <w:start w:val="3"/>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81038F2"/>
    <w:multiLevelType w:val="hybridMultilevel"/>
    <w:tmpl w:val="D1A8A7D8"/>
    <w:lvl w:ilvl="0" w:tplc="BFF8068E">
      <w:start w:val="1"/>
      <w:numFmt w:val="bullet"/>
      <w:lvlText w:val=""/>
      <w:lvlJc w:val="left"/>
      <w:pPr>
        <w:ind w:left="502" w:hanging="360"/>
      </w:pPr>
      <w:rPr>
        <w:rFonts w:ascii="Symbol" w:hAnsi="Symbol"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18" w15:restartNumberingAfterBreak="0">
    <w:nsid w:val="64375A95"/>
    <w:multiLevelType w:val="hybridMultilevel"/>
    <w:tmpl w:val="9E8A8A1E"/>
    <w:lvl w:ilvl="0" w:tplc="FFFFFFFF">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9" w15:restartNumberingAfterBreak="0">
    <w:nsid w:val="67D36A01"/>
    <w:multiLevelType w:val="hybridMultilevel"/>
    <w:tmpl w:val="B19C50CC"/>
    <w:lvl w:ilvl="0" w:tplc="883AA814">
      <w:start w:val="1"/>
      <w:numFmt w:val="lowerLetter"/>
      <w:lvlText w:val="%1)"/>
      <w:lvlJc w:val="left"/>
      <w:pPr>
        <w:tabs>
          <w:tab w:val="num" w:pos="720"/>
        </w:tabs>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0" w15:restartNumberingAfterBreak="0">
    <w:nsid w:val="6B8B755C"/>
    <w:multiLevelType w:val="hybridMultilevel"/>
    <w:tmpl w:val="12F474B2"/>
    <w:lvl w:ilvl="0" w:tplc="C6543C62">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1" w15:restartNumberingAfterBreak="0">
    <w:nsid w:val="719E1063"/>
    <w:multiLevelType w:val="hybridMultilevel"/>
    <w:tmpl w:val="A950EE84"/>
    <w:lvl w:ilvl="0" w:tplc="E1B21BB2">
      <w:start w:val="1"/>
      <w:numFmt w:val="lowerLetter"/>
      <w:lvlText w:val="%1)"/>
      <w:lvlJc w:val="left"/>
      <w:pPr>
        <w:tabs>
          <w:tab w:val="num" w:pos="720"/>
        </w:tabs>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2" w15:restartNumberingAfterBreak="0">
    <w:nsid w:val="728E1408"/>
    <w:multiLevelType w:val="hybridMultilevel"/>
    <w:tmpl w:val="6C8E2048"/>
    <w:lvl w:ilvl="0" w:tplc="C6543C62">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3" w15:restartNumberingAfterBreak="0">
    <w:nsid w:val="742A36D6"/>
    <w:multiLevelType w:val="hybridMultilevel"/>
    <w:tmpl w:val="B34E4AFE"/>
    <w:lvl w:ilvl="0" w:tplc="E69471B6">
      <w:numFmt w:val="bullet"/>
      <w:lvlText w:val="-"/>
      <w:lvlJc w:val="left"/>
      <w:pPr>
        <w:ind w:left="113" w:hanging="113"/>
      </w:pPr>
      <w:rPr>
        <w:rFonts w:ascii="Arial" w:eastAsia="Times New Roman"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77641AA7"/>
    <w:multiLevelType w:val="hybridMultilevel"/>
    <w:tmpl w:val="468865A4"/>
    <w:lvl w:ilvl="0" w:tplc="E69471B6">
      <w:numFmt w:val="bullet"/>
      <w:lvlText w:val="-"/>
      <w:lvlJc w:val="left"/>
      <w:pPr>
        <w:ind w:left="113" w:hanging="113"/>
      </w:pPr>
      <w:rPr>
        <w:rFonts w:ascii="Arial" w:eastAsia="Times New Roman"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074163846">
    <w:abstractNumId w:val="15"/>
  </w:num>
  <w:num w:numId="2" w16cid:durableId="629171615">
    <w:abstractNumId w:val="7"/>
  </w:num>
  <w:num w:numId="3" w16cid:durableId="1664310214">
    <w:abstractNumId w:val="8"/>
  </w:num>
  <w:num w:numId="4" w16cid:durableId="2020354264">
    <w:abstractNumId w:val="7"/>
  </w:num>
  <w:num w:numId="5" w16cid:durableId="15544936">
    <w:abstractNumId w:val="7"/>
  </w:num>
  <w:num w:numId="6" w16cid:durableId="572394119">
    <w:abstractNumId w:val="14"/>
  </w:num>
  <w:num w:numId="7" w16cid:durableId="512038534">
    <w:abstractNumId w:val="7"/>
  </w:num>
  <w:num w:numId="8" w16cid:durableId="1226989833">
    <w:abstractNumId w:val="17"/>
  </w:num>
  <w:num w:numId="9" w16cid:durableId="10151132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29650219">
    <w:abstractNumId w:val="11"/>
  </w:num>
  <w:num w:numId="11" w16cid:durableId="734773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268589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169850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933971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51952280">
    <w:abstractNumId w:val="2"/>
  </w:num>
  <w:num w:numId="16" w16cid:durableId="323972685">
    <w:abstractNumId w:val="13"/>
  </w:num>
  <w:num w:numId="17" w16cid:durableId="247354186">
    <w:abstractNumId w:val="6"/>
  </w:num>
  <w:num w:numId="18" w16cid:durableId="332681188">
    <w:abstractNumId w:val="5"/>
    <w:lvlOverride w:ilvl="0">
      <w:startOverride w:val="1"/>
    </w:lvlOverride>
  </w:num>
  <w:num w:numId="19" w16cid:durableId="1828546940">
    <w:abstractNumId w:val="0"/>
    <w:lvlOverride w:ilvl="0">
      <w:lvl w:ilvl="0">
        <w:numFmt w:val="bullet"/>
        <w:lvlText w:val=""/>
        <w:lvlJc w:val="left"/>
        <w:pPr>
          <w:ind w:left="0" w:hanging="360"/>
        </w:pPr>
        <w:rPr>
          <w:rFonts w:ascii="Symbol" w:hAnsi="Symbol" w:hint="default"/>
        </w:rPr>
      </w:lvl>
    </w:lvlOverride>
  </w:num>
  <w:num w:numId="20" w16cid:durableId="317226672">
    <w:abstractNumId w:val="12"/>
  </w:num>
  <w:num w:numId="21" w16cid:durableId="487333041">
    <w:abstractNumId w:val="18"/>
  </w:num>
  <w:num w:numId="22" w16cid:durableId="1566641930">
    <w:abstractNumId w:val="15"/>
  </w:num>
  <w:num w:numId="23" w16cid:durableId="1238443228">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60554091">
    <w:abstractNumId w:val="15"/>
  </w:num>
  <w:num w:numId="25" w16cid:durableId="1793749065">
    <w:abstractNumId w:val="15"/>
  </w:num>
  <w:num w:numId="26" w16cid:durableId="1347750225">
    <w:abstractNumId w:val="23"/>
  </w:num>
  <w:num w:numId="27" w16cid:durableId="1538352390">
    <w:abstractNumId w:val="24"/>
  </w:num>
  <w:num w:numId="28" w16cid:durableId="1197622675">
    <w:abstractNumId w:val="22"/>
  </w:num>
  <w:num w:numId="29" w16cid:durableId="543638731">
    <w:abstractNumId w:val="20"/>
  </w:num>
  <w:num w:numId="30" w16cid:durableId="1363290012">
    <w:abstractNumId w:val="1"/>
  </w:num>
  <w:num w:numId="31" w16cid:durableId="632834466">
    <w:abstractNumId w:val="16"/>
  </w:num>
  <w:num w:numId="32" w16cid:durableId="1524244211">
    <w:abstractNumId w:val="9"/>
  </w:num>
  <w:num w:numId="33" w16cid:durableId="453476197">
    <w:abstractNumId w:val="4"/>
  </w:num>
  <w:num w:numId="34" w16cid:durableId="1885673417">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5882876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567"/>
  <w:autoHyphenation/>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BAF"/>
    <w:rsid w:val="0013149C"/>
    <w:rsid w:val="00162098"/>
    <w:rsid w:val="00164C64"/>
    <w:rsid w:val="001752B3"/>
    <w:rsid w:val="00241058"/>
    <w:rsid w:val="0027404A"/>
    <w:rsid w:val="00284662"/>
    <w:rsid w:val="00340CC3"/>
    <w:rsid w:val="003D13AB"/>
    <w:rsid w:val="003D47EE"/>
    <w:rsid w:val="003E0A2B"/>
    <w:rsid w:val="004208D2"/>
    <w:rsid w:val="00423FC0"/>
    <w:rsid w:val="00436764"/>
    <w:rsid w:val="00477E84"/>
    <w:rsid w:val="0050575C"/>
    <w:rsid w:val="005D6A7D"/>
    <w:rsid w:val="00665244"/>
    <w:rsid w:val="006C5BAF"/>
    <w:rsid w:val="00703351"/>
    <w:rsid w:val="0073421F"/>
    <w:rsid w:val="00761BB9"/>
    <w:rsid w:val="007D2EC3"/>
    <w:rsid w:val="008027E9"/>
    <w:rsid w:val="00882C1B"/>
    <w:rsid w:val="00895B7E"/>
    <w:rsid w:val="008B0F4E"/>
    <w:rsid w:val="009258EF"/>
    <w:rsid w:val="009523B9"/>
    <w:rsid w:val="009A017F"/>
    <w:rsid w:val="009F077F"/>
    <w:rsid w:val="00B70712"/>
    <w:rsid w:val="00BB141C"/>
    <w:rsid w:val="00BE0DCD"/>
    <w:rsid w:val="00BE5A08"/>
    <w:rsid w:val="00CE66A2"/>
    <w:rsid w:val="00D0073B"/>
    <w:rsid w:val="00DF2D25"/>
    <w:rsid w:val="00E22D0E"/>
    <w:rsid w:val="00E40C8B"/>
    <w:rsid w:val="00EA3C68"/>
    <w:rsid w:val="00EC49B0"/>
    <w:rsid w:val="00F27081"/>
    <w:rsid w:val="00FC2A6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B973F3"/>
  <w15:docId w15:val="{CF60D684-5661-4DD8-82CA-919F22CDE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20" w:after="0" w:line="240" w:lineRule="auto"/>
    </w:pPr>
    <w:rPr>
      <w:rFonts w:ascii="Times New Roman" w:hAnsi="Times New Roman" w:cs="Times New Roman"/>
    </w:rPr>
  </w:style>
  <w:style w:type="paragraph" w:styleId="berschrift1">
    <w:name w:val="heading 1"/>
    <w:basedOn w:val="Listenabsatz"/>
    <w:next w:val="Standard"/>
    <w:link w:val="berschrift1Zchn"/>
    <w:uiPriority w:val="9"/>
    <w:qFormat/>
    <w:pPr>
      <w:numPr>
        <w:numId w:val="1"/>
      </w:numPr>
      <w:contextualSpacing w:val="0"/>
      <w:outlineLvl w:val="0"/>
    </w:pPr>
    <w:rPr>
      <w:rFonts w:ascii="Arial" w:hAnsi="Arial" w:cs="Arial"/>
      <w:b/>
    </w:rPr>
  </w:style>
  <w:style w:type="paragraph" w:styleId="berschrift2">
    <w:name w:val="heading 2"/>
    <w:basedOn w:val="Standard"/>
    <w:next w:val="Standard"/>
    <w:link w:val="berschrift2Zchn"/>
    <w:uiPriority w:val="9"/>
    <w:unhideWhenUsed/>
    <w:qFormat/>
    <w:pPr>
      <w:ind w:left="567" w:hanging="567"/>
      <w:outlineLvl w:val="1"/>
    </w:pPr>
    <w:rPr>
      <w:rFonts w:ascii="Arial" w:hAnsi="Arial" w:cs="Arial"/>
    </w:rPr>
  </w:style>
  <w:style w:type="paragraph" w:styleId="berschrift3">
    <w:name w:val="heading 3"/>
    <w:basedOn w:val="berschrift2"/>
    <w:next w:val="Standard"/>
    <w:link w:val="berschrift3Zchn"/>
    <w:uiPriority w:val="9"/>
    <w:unhideWhenUsed/>
    <w:qFormat/>
    <w:pPr>
      <w:outlineLvl w:val="2"/>
    </w:pPr>
  </w:style>
  <w:style w:type="paragraph" w:styleId="berschrift4">
    <w:name w:val="heading 4"/>
    <w:basedOn w:val="Standard"/>
    <w:next w:val="Standard"/>
    <w:link w:val="berschrift4Zchn"/>
    <w:uiPriority w:val="9"/>
    <w:unhideWhenUsed/>
    <w:pPr>
      <w:tabs>
        <w:tab w:val="left" w:pos="567"/>
      </w:tabs>
      <w:ind w:left="567" w:hanging="567"/>
      <w:outlineLvl w:val="3"/>
    </w:pPr>
  </w:style>
  <w:style w:type="paragraph" w:styleId="berschrift5">
    <w:name w:val="heading 5"/>
    <w:basedOn w:val="Standard"/>
    <w:next w:val="Standard"/>
    <w:link w:val="berschrift5Zchn"/>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 w:type="character" w:customStyle="1" w:styleId="berschrift2Zchn">
    <w:name w:val="Überschrift 2 Zchn"/>
    <w:basedOn w:val="Absatz-Standardschriftart"/>
    <w:link w:val="berschrift2"/>
    <w:uiPriority w:val="9"/>
    <w:rPr>
      <w:rFonts w:ascii="Arial" w:hAnsi="Arial" w:cs="Arial"/>
    </w:rPr>
  </w:style>
  <w:style w:type="character" w:customStyle="1" w:styleId="berschrift1Zchn">
    <w:name w:val="Überschrift 1 Zchn"/>
    <w:basedOn w:val="Absatz-Standardschriftart"/>
    <w:link w:val="berschrift1"/>
    <w:uiPriority w:val="9"/>
    <w:rPr>
      <w:rFonts w:ascii="Arial" w:hAnsi="Arial" w:cs="Arial"/>
      <w:b/>
    </w:rPr>
  </w:style>
  <w:style w:type="paragraph" w:styleId="Titel">
    <w:name w:val="Title"/>
    <w:basedOn w:val="Standard"/>
    <w:next w:val="Standard"/>
    <w:link w:val="TitelZchn"/>
    <w:uiPriority w:val="10"/>
    <w:qFormat/>
    <w:pPr>
      <w:jc w:val="center"/>
    </w:pPr>
    <w:rPr>
      <w:rFonts w:ascii="Arial" w:hAnsi="Arial" w:cs="Arial"/>
      <w:b/>
      <w:sz w:val="24"/>
      <w:szCs w:val="24"/>
    </w:rPr>
  </w:style>
  <w:style w:type="character" w:customStyle="1" w:styleId="TitelZchn">
    <w:name w:val="Titel Zchn"/>
    <w:basedOn w:val="Absatz-Standardschriftart"/>
    <w:link w:val="Titel"/>
    <w:uiPriority w:val="10"/>
    <w:rPr>
      <w:rFonts w:ascii="Arial" w:hAnsi="Arial" w:cs="Arial"/>
      <w:b/>
      <w:sz w:val="24"/>
      <w:szCs w:val="24"/>
    </w:rPr>
  </w:style>
  <w:style w:type="character" w:customStyle="1" w:styleId="berschrift3Zchn">
    <w:name w:val="Überschrift 3 Zchn"/>
    <w:basedOn w:val="Absatz-Standardschriftart"/>
    <w:link w:val="berschrift3"/>
    <w:uiPriority w:val="9"/>
    <w:rPr>
      <w:rFonts w:ascii="Arial" w:hAnsi="Arial" w:cs="Arial"/>
    </w:rPr>
  </w:style>
  <w:style w:type="character" w:styleId="Hervorhebung">
    <w:name w:val="Emphasis"/>
    <w:uiPriority w:val="20"/>
    <w:qFormat/>
  </w:style>
  <w:style w:type="paragraph" w:styleId="KeinLeerraum">
    <w:name w:val="No Spacing"/>
    <w:uiPriority w:val="1"/>
    <w:qFormat/>
    <w:pPr>
      <w:spacing w:after="0" w:line="240" w:lineRule="auto"/>
    </w:pPr>
    <w:rPr>
      <w:rFonts w:ascii="Times New Roman" w:hAnsi="Times New Roman" w:cs="Times New Roman"/>
    </w:rPr>
  </w:style>
  <w:style w:type="character" w:customStyle="1" w:styleId="berschrift4Zchn">
    <w:name w:val="Überschrift 4 Zchn"/>
    <w:basedOn w:val="Absatz-Standardschriftart"/>
    <w:link w:val="berschrift4"/>
    <w:uiPriority w:val="9"/>
    <w:rPr>
      <w:rFonts w:ascii="Times New Roman" w:hAnsi="Times New Roman" w:cs="Times New Roman"/>
    </w:rPr>
  </w:style>
  <w:style w:type="paragraph" w:styleId="Sprechblasentext">
    <w:name w:val="Balloon Text"/>
    <w:basedOn w:val="Standard"/>
    <w:link w:val="SprechblasentextZchn"/>
    <w:uiPriority w:val="99"/>
    <w:semiHidden/>
    <w:unhideWhenUsed/>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Blocktext">
    <w:name w:val="Block Text"/>
    <w:basedOn w:val="Standard"/>
    <w:uiPriority w:val="99"/>
    <w:semiHidden/>
    <w:unhideWhenUsed/>
    <w:pPr>
      <w:ind w:left="284" w:right="255"/>
    </w:pPr>
    <w:rPr>
      <w:rFonts w:eastAsia="Times New Roman"/>
      <w:szCs w:val="20"/>
      <w:lang w:eastAsia="de-DE"/>
    </w:rPr>
  </w:style>
  <w:style w:type="paragraph" w:customStyle="1" w:styleId="CM3">
    <w:name w:val="CM3"/>
    <w:basedOn w:val="Standard"/>
    <w:next w:val="Standard"/>
    <w:pPr>
      <w:widowControl w:val="0"/>
      <w:autoSpaceDE w:val="0"/>
      <w:autoSpaceDN w:val="0"/>
      <w:adjustRightInd w:val="0"/>
      <w:spacing w:before="0"/>
    </w:pPr>
    <w:rPr>
      <w:rFonts w:ascii="Arial" w:eastAsia="Times New Roman" w:hAnsi="Arial"/>
      <w:sz w:val="24"/>
      <w:szCs w:val="24"/>
      <w:lang w:eastAsia="de-DE"/>
    </w:rPr>
  </w:style>
  <w:style w:type="paragraph" w:customStyle="1" w:styleId="CM2">
    <w:name w:val="CM2"/>
    <w:basedOn w:val="Standard"/>
    <w:next w:val="Standard"/>
    <w:pPr>
      <w:widowControl w:val="0"/>
      <w:autoSpaceDE w:val="0"/>
      <w:autoSpaceDN w:val="0"/>
      <w:adjustRightInd w:val="0"/>
      <w:spacing w:before="0" w:line="320" w:lineRule="atLeast"/>
    </w:pPr>
    <w:rPr>
      <w:rFonts w:ascii="Arial" w:eastAsia="Times New Roman" w:hAnsi="Arial"/>
      <w:sz w:val="24"/>
      <w:szCs w:val="24"/>
      <w:lang w:eastAsia="de-DE"/>
    </w:rPr>
  </w:style>
  <w:style w:type="paragraph" w:customStyle="1" w:styleId="Default">
    <w:name w:val="Default"/>
    <w:pPr>
      <w:widowControl w:val="0"/>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Textkrper-Zeileneinzug">
    <w:name w:val="Body Text Indent"/>
    <w:basedOn w:val="Standard"/>
    <w:link w:val="Textkrper-ZeileneinzugZchn"/>
    <w:semiHidden/>
    <w:unhideWhenUsed/>
    <w:pPr>
      <w:ind w:left="284"/>
    </w:pPr>
    <w:rPr>
      <w:rFonts w:eastAsia="Times New Roman"/>
      <w:szCs w:val="20"/>
      <w:lang w:eastAsia="de-DE"/>
    </w:rPr>
  </w:style>
  <w:style w:type="character" w:customStyle="1" w:styleId="Textkrper-ZeileneinzugZchn">
    <w:name w:val="Textkörper-Zeileneinzug Zchn"/>
    <w:basedOn w:val="Absatz-Standardschriftart"/>
    <w:link w:val="Textkrper-Zeileneinzug"/>
    <w:semiHidden/>
    <w:rPr>
      <w:rFonts w:ascii="Times New Roman" w:eastAsia="Times New Roman" w:hAnsi="Times New Roman" w:cs="Times New Roman"/>
      <w:szCs w:val="20"/>
      <w:lang w:eastAsia="de-DE"/>
    </w:rPr>
  </w:style>
  <w:style w:type="paragraph" w:customStyle="1" w:styleId="QM-Text">
    <w:name w:val="QM-Text"/>
    <w:basedOn w:val="Standard"/>
    <w:pPr>
      <w:spacing w:before="0"/>
    </w:pPr>
    <w:rPr>
      <w:rFonts w:ascii="Arial" w:eastAsia="Times New Roman" w:hAnsi="Arial" w:cs="Arial"/>
      <w:color w:val="000000"/>
      <w:lang w:eastAsia="de-DE"/>
    </w:rPr>
  </w:style>
  <w:style w:type="paragraph" w:customStyle="1" w:styleId="Hypothese">
    <w:name w:val="Hypothese"/>
    <w:basedOn w:val="Standard"/>
    <w:pPr>
      <w:numPr>
        <w:numId w:val="3"/>
      </w:numPr>
      <w:spacing w:before="0"/>
    </w:pPr>
    <w:rPr>
      <w:rFonts w:ascii="Arial" w:eastAsia="Times New Roman" w:hAnsi="Arial"/>
      <w:szCs w:val="20"/>
      <w:lang w:eastAsia="de-DE"/>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43F60" w:themeColor="accent1" w:themeShade="7F"/>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Times New Roman" w:hAnsi="Times New Roman" w:cs="Times New Roman"/>
      <w:b/>
      <w:bCs/>
      <w:sz w:val="20"/>
      <w:szCs w:val="20"/>
    </w:rPr>
  </w:style>
  <w:style w:type="paragraph" w:styleId="berarbeitung">
    <w:name w:val="Revision"/>
    <w:hidden/>
    <w:uiPriority w:val="99"/>
    <w:semiHidden/>
    <w:pPr>
      <w:spacing w:after="0" w:line="240" w:lineRule="auto"/>
    </w:pPr>
    <w:rPr>
      <w:rFonts w:ascii="Times New Roman" w:hAnsi="Times New Roman" w:cs="Times New Roman"/>
    </w:rPr>
  </w:style>
  <w:style w:type="character" w:styleId="Hyperlink">
    <w:name w:val="Hyperlink"/>
    <w:basedOn w:val="Absatz-Standardschriftart"/>
    <w:uiPriority w:val="99"/>
    <w:unhideWhenUsed/>
    <w:rPr>
      <w:color w:val="0000FF" w:themeColor="hyperlink"/>
      <w:u w:val="single"/>
    </w:rPr>
  </w:style>
  <w:style w:type="character" w:styleId="BesuchterLink">
    <w:name w:val="FollowedHyperlink"/>
    <w:basedOn w:val="Absatz-Standardschriftar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0285">
      <w:bodyDiv w:val="1"/>
      <w:marLeft w:val="0"/>
      <w:marRight w:val="0"/>
      <w:marTop w:val="0"/>
      <w:marBottom w:val="0"/>
      <w:divBdr>
        <w:top w:val="none" w:sz="0" w:space="0" w:color="auto"/>
        <w:left w:val="none" w:sz="0" w:space="0" w:color="auto"/>
        <w:bottom w:val="none" w:sz="0" w:space="0" w:color="auto"/>
        <w:right w:val="none" w:sz="0" w:space="0" w:color="auto"/>
      </w:divBdr>
    </w:div>
    <w:div w:id="32734110">
      <w:bodyDiv w:val="1"/>
      <w:marLeft w:val="0"/>
      <w:marRight w:val="0"/>
      <w:marTop w:val="0"/>
      <w:marBottom w:val="0"/>
      <w:divBdr>
        <w:top w:val="none" w:sz="0" w:space="0" w:color="auto"/>
        <w:left w:val="none" w:sz="0" w:space="0" w:color="auto"/>
        <w:bottom w:val="none" w:sz="0" w:space="0" w:color="auto"/>
        <w:right w:val="none" w:sz="0" w:space="0" w:color="auto"/>
      </w:divBdr>
    </w:div>
    <w:div w:id="42022270">
      <w:bodyDiv w:val="1"/>
      <w:marLeft w:val="0"/>
      <w:marRight w:val="0"/>
      <w:marTop w:val="0"/>
      <w:marBottom w:val="0"/>
      <w:divBdr>
        <w:top w:val="none" w:sz="0" w:space="0" w:color="auto"/>
        <w:left w:val="none" w:sz="0" w:space="0" w:color="auto"/>
        <w:bottom w:val="none" w:sz="0" w:space="0" w:color="auto"/>
        <w:right w:val="none" w:sz="0" w:space="0" w:color="auto"/>
      </w:divBdr>
    </w:div>
    <w:div w:id="48383647">
      <w:bodyDiv w:val="1"/>
      <w:marLeft w:val="0"/>
      <w:marRight w:val="0"/>
      <w:marTop w:val="0"/>
      <w:marBottom w:val="0"/>
      <w:divBdr>
        <w:top w:val="none" w:sz="0" w:space="0" w:color="auto"/>
        <w:left w:val="none" w:sz="0" w:space="0" w:color="auto"/>
        <w:bottom w:val="none" w:sz="0" w:space="0" w:color="auto"/>
        <w:right w:val="none" w:sz="0" w:space="0" w:color="auto"/>
      </w:divBdr>
    </w:div>
    <w:div w:id="55977135">
      <w:bodyDiv w:val="1"/>
      <w:marLeft w:val="0"/>
      <w:marRight w:val="0"/>
      <w:marTop w:val="0"/>
      <w:marBottom w:val="0"/>
      <w:divBdr>
        <w:top w:val="none" w:sz="0" w:space="0" w:color="auto"/>
        <w:left w:val="none" w:sz="0" w:space="0" w:color="auto"/>
        <w:bottom w:val="none" w:sz="0" w:space="0" w:color="auto"/>
        <w:right w:val="none" w:sz="0" w:space="0" w:color="auto"/>
      </w:divBdr>
    </w:div>
    <w:div w:id="58788949">
      <w:bodyDiv w:val="1"/>
      <w:marLeft w:val="0"/>
      <w:marRight w:val="0"/>
      <w:marTop w:val="0"/>
      <w:marBottom w:val="0"/>
      <w:divBdr>
        <w:top w:val="none" w:sz="0" w:space="0" w:color="auto"/>
        <w:left w:val="none" w:sz="0" w:space="0" w:color="auto"/>
        <w:bottom w:val="none" w:sz="0" w:space="0" w:color="auto"/>
        <w:right w:val="none" w:sz="0" w:space="0" w:color="auto"/>
      </w:divBdr>
    </w:div>
    <w:div w:id="61027646">
      <w:bodyDiv w:val="1"/>
      <w:marLeft w:val="0"/>
      <w:marRight w:val="0"/>
      <w:marTop w:val="0"/>
      <w:marBottom w:val="0"/>
      <w:divBdr>
        <w:top w:val="none" w:sz="0" w:space="0" w:color="auto"/>
        <w:left w:val="none" w:sz="0" w:space="0" w:color="auto"/>
        <w:bottom w:val="none" w:sz="0" w:space="0" w:color="auto"/>
        <w:right w:val="none" w:sz="0" w:space="0" w:color="auto"/>
      </w:divBdr>
    </w:div>
    <w:div w:id="66925403">
      <w:bodyDiv w:val="1"/>
      <w:marLeft w:val="0"/>
      <w:marRight w:val="0"/>
      <w:marTop w:val="0"/>
      <w:marBottom w:val="0"/>
      <w:divBdr>
        <w:top w:val="none" w:sz="0" w:space="0" w:color="auto"/>
        <w:left w:val="none" w:sz="0" w:space="0" w:color="auto"/>
        <w:bottom w:val="none" w:sz="0" w:space="0" w:color="auto"/>
        <w:right w:val="none" w:sz="0" w:space="0" w:color="auto"/>
      </w:divBdr>
    </w:div>
    <w:div w:id="76099450">
      <w:bodyDiv w:val="1"/>
      <w:marLeft w:val="0"/>
      <w:marRight w:val="0"/>
      <w:marTop w:val="0"/>
      <w:marBottom w:val="0"/>
      <w:divBdr>
        <w:top w:val="none" w:sz="0" w:space="0" w:color="auto"/>
        <w:left w:val="none" w:sz="0" w:space="0" w:color="auto"/>
        <w:bottom w:val="none" w:sz="0" w:space="0" w:color="auto"/>
        <w:right w:val="none" w:sz="0" w:space="0" w:color="auto"/>
      </w:divBdr>
    </w:div>
    <w:div w:id="92946546">
      <w:bodyDiv w:val="1"/>
      <w:marLeft w:val="0"/>
      <w:marRight w:val="0"/>
      <w:marTop w:val="0"/>
      <w:marBottom w:val="0"/>
      <w:divBdr>
        <w:top w:val="none" w:sz="0" w:space="0" w:color="auto"/>
        <w:left w:val="none" w:sz="0" w:space="0" w:color="auto"/>
        <w:bottom w:val="none" w:sz="0" w:space="0" w:color="auto"/>
        <w:right w:val="none" w:sz="0" w:space="0" w:color="auto"/>
      </w:divBdr>
    </w:div>
    <w:div w:id="97650744">
      <w:bodyDiv w:val="1"/>
      <w:marLeft w:val="0"/>
      <w:marRight w:val="0"/>
      <w:marTop w:val="0"/>
      <w:marBottom w:val="0"/>
      <w:divBdr>
        <w:top w:val="none" w:sz="0" w:space="0" w:color="auto"/>
        <w:left w:val="none" w:sz="0" w:space="0" w:color="auto"/>
        <w:bottom w:val="none" w:sz="0" w:space="0" w:color="auto"/>
        <w:right w:val="none" w:sz="0" w:space="0" w:color="auto"/>
      </w:divBdr>
    </w:div>
    <w:div w:id="109009612">
      <w:bodyDiv w:val="1"/>
      <w:marLeft w:val="0"/>
      <w:marRight w:val="0"/>
      <w:marTop w:val="0"/>
      <w:marBottom w:val="0"/>
      <w:divBdr>
        <w:top w:val="none" w:sz="0" w:space="0" w:color="auto"/>
        <w:left w:val="none" w:sz="0" w:space="0" w:color="auto"/>
        <w:bottom w:val="none" w:sz="0" w:space="0" w:color="auto"/>
        <w:right w:val="none" w:sz="0" w:space="0" w:color="auto"/>
      </w:divBdr>
    </w:div>
    <w:div w:id="131949091">
      <w:bodyDiv w:val="1"/>
      <w:marLeft w:val="0"/>
      <w:marRight w:val="0"/>
      <w:marTop w:val="0"/>
      <w:marBottom w:val="0"/>
      <w:divBdr>
        <w:top w:val="none" w:sz="0" w:space="0" w:color="auto"/>
        <w:left w:val="none" w:sz="0" w:space="0" w:color="auto"/>
        <w:bottom w:val="none" w:sz="0" w:space="0" w:color="auto"/>
        <w:right w:val="none" w:sz="0" w:space="0" w:color="auto"/>
      </w:divBdr>
    </w:div>
    <w:div w:id="145780099">
      <w:bodyDiv w:val="1"/>
      <w:marLeft w:val="0"/>
      <w:marRight w:val="0"/>
      <w:marTop w:val="0"/>
      <w:marBottom w:val="0"/>
      <w:divBdr>
        <w:top w:val="none" w:sz="0" w:space="0" w:color="auto"/>
        <w:left w:val="none" w:sz="0" w:space="0" w:color="auto"/>
        <w:bottom w:val="none" w:sz="0" w:space="0" w:color="auto"/>
        <w:right w:val="none" w:sz="0" w:space="0" w:color="auto"/>
      </w:divBdr>
    </w:div>
    <w:div w:id="172649155">
      <w:bodyDiv w:val="1"/>
      <w:marLeft w:val="0"/>
      <w:marRight w:val="0"/>
      <w:marTop w:val="0"/>
      <w:marBottom w:val="0"/>
      <w:divBdr>
        <w:top w:val="none" w:sz="0" w:space="0" w:color="auto"/>
        <w:left w:val="none" w:sz="0" w:space="0" w:color="auto"/>
        <w:bottom w:val="none" w:sz="0" w:space="0" w:color="auto"/>
        <w:right w:val="none" w:sz="0" w:space="0" w:color="auto"/>
      </w:divBdr>
    </w:div>
    <w:div w:id="180053814">
      <w:bodyDiv w:val="1"/>
      <w:marLeft w:val="0"/>
      <w:marRight w:val="0"/>
      <w:marTop w:val="0"/>
      <w:marBottom w:val="0"/>
      <w:divBdr>
        <w:top w:val="none" w:sz="0" w:space="0" w:color="auto"/>
        <w:left w:val="none" w:sz="0" w:space="0" w:color="auto"/>
        <w:bottom w:val="none" w:sz="0" w:space="0" w:color="auto"/>
        <w:right w:val="none" w:sz="0" w:space="0" w:color="auto"/>
      </w:divBdr>
    </w:div>
    <w:div w:id="181213433">
      <w:bodyDiv w:val="1"/>
      <w:marLeft w:val="0"/>
      <w:marRight w:val="0"/>
      <w:marTop w:val="0"/>
      <w:marBottom w:val="0"/>
      <w:divBdr>
        <w:top w:val="none" w:sz="0" w:space="0" w:color="auto"/>
        <w:left w:val="none" w:sz="0" w:space="0" w:color="auto"/>
        <w:bottom w:val="none" w:sz="0" w:space="0" w:color="auto"/>
        <w:right w:val="none" w:sz="0" w:space="0" w:color="auto"/>
      </w:divBdr>
    </w:div>
    <w:div w:id="190807936">
      <w:bodyDiv w:val="1"/>
      <w:marLeft w:val="0"/>
      <w:marRight w:val="0"/>
      <w:marTop w:val="0"/>
      <w:marBottom w:val="0"/>
      <w:divBdr>
        <w:top w:val="none" w:sz="0" w:space="0" w:color="auto"/>
        <w:left w:val="none" w:sz="0" w:space="0" w:color="auto"/>
        <w:bottom w:val="none" w:sz="0" w:space="0" w:color="auto"/>
        <w:right w:val="none" w:sz="0" w:space="0" w:color="auto"/>
      </w:divBdr>
    </w:div>
    <w:div w:id="197358607">
      <w:bodyDiv w:val="1"/>
      <w:marLeft w:val="0"/>
      <w:marRight w:val="0"/>
      <w:marTop w:val="0"/>
      <w:marBottom w:val="0"/>
      <w:divBdr>
        <w:top w:val="none" w:sz="0" w:space="0" w:color="auto"/>
        <w:left w:val="none" w:sz="0" w:space="0" w:color="auto"/>
        <w:bottom w:val="none" w:sz="0" w:space="0" w:color="auto"/>
        <w:right w:val="none" w:sz="0" w:space="0" w:color="auto"/>
      </w:divBdr>
    </w:div>
    <w:div w:id="203950327">
      <w:bodyDiv w:val="1"/>
      <w:marLeft w:val="0"/>
      <w:marRight w:val="0"/>
      <w:marTop w:val="0"/>
      <w:marBottom w:val="0"/>
      <w:divBdr>
        <w:top w:val="none" w:sz="0" w:space="0" w:color="auto"/>
        <w:left w:val="none" w:sz="0" w:space="0" w:color="auto"/>
        <w:bottom w:val="none" w:sz="0" w:space="0" w:color="auto"/>
        <w:right w:val="none" w:sz="0" w:space="0" w:color="auto"/>
      </w:divBdr>
    </w:div>
    <w:div w:id="207298667">
      <w:bodyDiv w:val="1"/>
      <w:marLeft w:val="0"/>
      <w:marRight w:val="0"/>
      <w:marTop w:val="0"/>
      <w:marBottom w:val="0"/>
      <w:divBdr>
        <w:top w:val="none" w:sz="0" w:space="0" w:color="auto"/>
        <w:left w:val="none" w:sz="0" w:space="0" w:color="auto"/>
        <w:bottom w:val="none" w:sz="0" w:space="0" w:color="auto"/>
        <w:right w:val="none" w:sz="0" w:space="0" w:color="auto"/>
      </w:divBdr>
    </w:div>
    <w:div w:id="211503286">
      <w:bodyDiv w:val="1"/>
      <w:marLeft w:val="0"/>
      <w:marRight w:val="0"/>
      <w:marTop w:val="0"/>
      <w:marBottom w:val="0"/>
      <w:divBdr>
        <w:top w:val="none" w:sz="0" w:space="0" w:color="auto"/>
        <w:left w:val="none" w:sz="0" w:space="0" w:color="auto"/>
        <w:bottom w:val="none" w:sz="0" w:space="0" w:color="auto"/>
        <w:right w:val="none" w:sz="0" w:space="0" w:color="auto"/>
      </w:divBdr>
    </w:div>
    <w:div w:id="240800940">
      <w:bodyDiv w:val="1"/>
      <w:marLeft w:val="0"/>
      <w:marRight w:val="0"/>
      <w:marTop w:val="0"/>
      <w:marBottom w:val="0"/>
      <w:divBdr>
        <w:top w:val="none" w:sz="0" w:space="0" w:color="auto"/>
        <w:left w:val="none" w:sz="0" w:space="0" w:color="auto"/>
        <w:bottom w:val="none" w:sz="0" w:space="0" w:color="auto"/>
        <w:right w:val="none" w:sz="0" w:space="0" w:color="auto"/>
      </w:divBdr>
    </w:div>
    <w:div w:id="243609414">
      <w:bodyDiv w:val="1"/>
      <w:marLeft w:val="0"/>
      <w:marRight w:val="0"/>
      <w:marTop w:val="0"/>
      <w:marBottom w:val="0"/>
      <w:divBdr>
        <w:top w:val="none" w:sz="0" w:space="0" w:color="auto"/>
        <w:left w:val="none" w:sz="0" w:space="0" w:color="auto"/>
        <w:bottom w:val="none" w:sz="0" w:space="0" w:color="auto"/>
        <w:right w:val="none" w:sz="0" w:space="0" w:color="auto"/>
      </w:divBdr>
    </w:div>
    <w:div w:id="250356815">
      <w:bodyDiv w:val="1"/>
      <w:marLeft w:val="0"/>
      <w:marRight w:val="0"/>
      <w:marTop w:val="0"/>
      <w:marBottom w:val="0"/>
      <w:divBdr>
        <w:top w:val="none" w:sz="0" w:space="0" w:color="auto"/>
        <w:left w:val="none" w:sz="0" w:space="0" w:color="auto"/>
        <w:bottom w:val="none" w:sz="0" w:space="0" w:color="auto"/>
        <w:right w:val="none" w:sz="0" w:space="0" w:color="auto"/>
      </w:divBdr>
    </w:div>
    <w:div w:id="257716833">
      <w:bodyDiv w:val="1"/>
      <w:marLeft w:val="0"/>
      <w:marRight w:val="0"/>
      <w:marTop w:val="0"/>
      <w:marBottom w:val="0"/>
      <w:divBdr>
        <w:top w:val="none" w:sz="0" w:space="0" w:color="auto"/>
        <w:left w:val="none" w:sz="0" w:space="0" w:color="auto"/>
        <w:bottom w:val="none" w:sz="0" w:space="0" w:color="auto"/>
        <w:right w:val="none" w:sz="0" w:space="0" w:color="auto"/>
      </w:divBdr>
    </w:div>
    <w:div w:id="268895778">
      <w:bodyDiv w:val="1"/>
      <w:marLeft w:val="0"/>
      <w:marRight w:val="0"/>
      <w:marTop w:val="0"/>
      <w:marBottom w:val="0"/>
      <w:divBdr>
        <w:top w:val="none" w:sz="0" w:space="0" w:color="auto"/>
        <w:left w:val="none" w:sz="0" w:space="0" w:color="auto"/>
        <w:bottom w:val="none" w:sz="0" w:space="0" w:color="auto"/>
        <w:right w:val="none" w:sz="0" w:space="0" w:color="auto"/>
      </w:divBdr>
    </w:div>
    <w:div w:id="272712722">
      <w:bodyDiv w:val="1"/>
      <w:marLeft w:val="0"/>
      <w:marRight w:val="0"/>
      <w:marTop w:val="0"/>
      <w:marBottom w:val="0"/>
      <w:divBdr>
        <w:top w:val="none" w:sz="0" w:space="0" w:color="auto"/>
        <w:left w:val="none" w:sz="0" w:space="0" w:color="auto"/>
        <w:bottom w:val="none" w:sz="0" w:space="0" w:color="auto"/>
        <w:right w:val="none" w:sz="0" w:space="0" w:color="auto"/>
      </w:divBdr>
    </w:div>
    <w:div w:id="284654457">
      <w:bodyDiv w:val="1"/>
      <w:marLeft w:val="0"/>
      <w:marRight w:val="0"/>
      <w:marTop w:val="0"/>
      <w:marBottom w:val="0"/>
      <w:divBdr>
        <w:top w:val="none" w:sz="0" w:space="0" w:color="auto"/>
        <w:left w:val="none" w:sz="0" w:space="0" w:color="auto"/>
        <w:bottom w:val="none" w:sz="0" w:space="0" w:color="auto"/>
        <w:right w:val="none" w:sz="0" w:space="0" w:color="auto"/>
      </w:divBdr>
    </w:div>
    <w:div w:id="292370608">
      <w:bodyDiv w:val="1"/>
      <w:marLeft w:val="0"/>
      <w:marRight w:val="0"/>
      <w:marTop w:val="0"/>
      <w:marBottom w:val="0"/>
      <w:divBdr>
        <w:top w:val="none" w:sz="0" w:space="0" w:color="auto"/>
        <w:left w:val="none" w:sz="0" w:space="0" w:color="auto"/>
        <w:bottom w:val="none" w:sz="0" w:space="0" w:color="auto"/>
        <w:right w:val="none" w:sz="0" w:space="0" w:color="auto"/>
      </w:divBdr>
    </w:div>
    <w:div w:id="293221320">
      <w:bodyDiv w:val="1"/>
      <w:marLeft w:val="0"/>
      <w:marRight w:val="0"/>
      <w:marTop w:val="0"/>
      <w:marBottom w:val="0"/>
      <w:divBdr>
        <w:top w:val="none" w:sz="0" w:space="0" w:color="auto"/>
        <w:left w:val="none" w:sz="0" w:space="0" w:color="auto"/>
        <w:bottom w:val="none" w:sz="0" w:space="0" w:color="auto"/>
        <w:right w:val="none" w:sz="0" w:space="0" w:color="auto"/>
      </w:divBdr>
    </w:div>
    <w:div w:id="294218315">
      <w:bodyDiv w:val="1"/>
      <w:marLeft w:val="0"/>
      <w:marRight w:val="0"/>
      <w:marTop w:val="0"/>
      <w:marBottom w:val="0"/>
      <w:divBdr>
        <w:top w:val="none" w:sz="0" w:space="0" w:color="auto"/>
        <w:left w:val="none" w:sz="0" w:space="0" w:color="auto"/>
        <w:bottom w:val="none" w:sz="0" w:space="0" w:color="auto"/>
        <w:right w:val="none" w:sz="0" w:space="0" w:color="auto"/>
      </w:divBdr>
    </w:div>
    <w:div w:id="311906184">
      <w:bodyDiv w:val="1"/>
      <w:marLeft w:val="0"/>
      <w:marRight w:val="0"/>
      <w:marTop w:val="0"/>
      <w:marBottom w:val="0"/>
      <w:divBdr>
        <w:top w:val="none" w:sz="0" w:space="0" w:color="auto"/>
        <w:left w:val="none" w:sz="0" w:space="0" w:color="auto"/>
        <w:bottom w:val="none" w:sz="0" w:space="0" w:color="auto"/>
        <w:right w:val="none" w:sz="0" w:space="0" w:color="auto"/>
      </w:divBdr>
    </w:div>
    <w:div w:id="314988993">
      <w:bodyDiv w:val="1"/>
      <w:marLeft w:val="0"/>
      <w:marRight w:val="0"/>
      <w:marTop w:val="0"/>
      <w:marBottom w:val="0"/>
      <w:divBdr>
        <w:top w:val="none" w:sz="0" w:space="0" w:color="auto"/>
        <w:left w:val="none" w:sz="0" w:space="0" w:color="auto"/>
        <w:bottom w:val="none" w:sz="0" w:space="0" w:color="auto"/>
        <w:right w:val="none" w:sz="0" w:space="0" w:color="auto"/>
      </w:divBdr>
    </w:div>
    <w:div w:id="324086647">
      <w:bodyDiv w:val="1"/>
      <w:marLeft w:val="0"/>
      <w:marRight w:val="0"/>
      <w:marTop w:val="0"/>
      <w:marBottom w:val="0"/>
      <w:divBdr>
        <w:top w:val="none" w:sz="0" w:space="0" w:color="auto"/>
        <w:left w:val="none" w:sz="0" w:space="0" w:color="auto"/>
        <w:bottom w:val="none" w:sz="0" w:space="0" w:color="auto"/>
        <w:right w:val="none" w:sz="0" w:space="0" w:color="auto"/>
      </w:divBdr>
    </w:div>
    <w:div w:id="337003724">
      <w:bodyDiv w:val="1"/>
      <w:marLeft w:val="0"/>
      <w:marRight w:val="0"/>
      <w:marTop w:val="0"/>
      <w:marBottom w:val="0"/>
      <w:divBdr>
        <w:top w:val="none" w:sz="0" w:space="0" w:color="auto"/>
        <w:left w:val="none" w:sz="0" w:space="0" w:color="auto"/>
        <w:bottom w:val="none" w:sz="0" w:space="0" w:color="auto"/>
        <w:right w:val="none" w:sz="0" w:space="0" w:color="auto"/>
      </w:divBdr>
    </w:div>
    <w:div w:id="350842709">
      <w:bodyDiv w:val="1"/>
      <w:marLeft w:val="0"/>
      <w:marRight w:val="0"/>
      <w:marTop w:val="0"/>
      <w:marBottom w:val="0"/>
      <w:divBdr>
        <w:top w:val="none" w:sz="0" w:space="0" w:color="auto"/>
        <w:left w:val="none" w:sz="0" w:space="0" w:color="auto"/>
        <w:bottom w:val="none" w:sz="0" w:space="0" w:color="auto"/>
        <w:right w:val="none" w:sz="0" w:space="0" w:color="auto"/>
      </w:divBdr>
    </w:div>
    <w:div w:id="372925390">
      <w:bodyDiv w:val="1"/>
      <w:marLeft w:val="0"/>
      <w:marRight w:val="0"/>
      <w:marTop w:val="0"/>
      <w:marBottom w:val="0"/>
      <w:divBdr>
        <w:top w:val="none" w:sz="0" w:space="0" w:color="auto"/>
        <w:left w:val="none" w:sz="0" w:space="0" w:color="auto"/>
        <w:bottom w:val="none" w:sz="0" w:space="0" w:color="auto"/>
        <w:right w:val="none" w:sz="0" w:space="0" w:color="auto"/>
      </w:divBdr>
    </w:div>
    <w:div w:id="374041632">
      <w:bodyDiv w:val="1"/>
      <w:marLeft w:val="0"/>
      <w:marRight w:val="0"/>
      <w:marTop w:val="0"/>
      <w:marBottom w:val="0"/>
      <w:divBdr>
        <w:top w:val="none" w:sz="0" w:space="0" w:color="auto"/>
        <w:left w:val="none" w:sz="0" w:space="0" w:color="auto"/>
        <w:bottom w:val="none" w:sz="0" w:space="0" w:color="auto"/>
        <w:right w:val="none" w:sz="0" w:space="0" w:color="auto"/>
      </w:divBdr>
    </w:div>
    <w:div w:id="382020577">
      <w:bodyDiv w:val="1"/>
      <w:marLeft w:val="0"/>
      <w:marRight w:val="0"/>
      <w:marTop w:val="0"/>
      <w:marBottom w:val="0"/>
      <w:divBdr>
        <w:top w:val="none" w:sz="0" w:space="0" w:color="auto"/>
        <w:left w:val="none" w:sz="0" w:space="0" w:color="auto"/>
        <w:bottom w:val="none" w:sz="0" w:space="0" w:color="auto"/>
        <w:right w:val="none" w:sz="0" w:space="0" w:color="auto"/>
      </w:divBdr>
    </w:div>
    <w:div w:id="393889479">
      <w:bodyDiv w:val="1"/>
      <w:marLeft w:val="0"/>
      <w:marRight w:val="0"/>
      <w:marTop w:val="0"/>
      <w:marBottom w:val="0"/>
      <w:divBdr>
        <w:top w:val="none" w:sz="0" w:space="0" w:color="auto"/>
        <w:left w:val="none" w:sz="0" w:space="0" w:color="auto"/>
        <w:bottom w:val="none" w:sz="0" w:space="0" w:color="auto"/>
        <w:right w:val="none" w:sz="0" w:space="0" w:color="auto"/>
      </w:divBdr>
    </w:div>
    <w:div w:id="394478244">
      <w:bodyDiv w:val="1"/>
      <w:marLeft w:val="0"/>
      <w:marRight w:val="0"/>
      <w:marTop w:val="0"/>
      <w:marBottom w:val="0"/>
      <w:divBdr>
        <w:top w:val="none" w:sz="0" w:space="0" w:color="auto"/>
        <w:left w:val="none" w:sz="0" w:space="0" w:color="auto"/>
        <w:bottom w:val="none" w:sz="0" w:space="0" w:color="auto"/>
        <w:right w:val="none" w:sz="0" w:space="0" w:color="auto"/>
      </w:divBdr>
    </w:div>
    <w:div w:id="399716104">
      <w:bodyDiv w:val="1"/>
      <w:marLeft w:val="0"/>
      <w:marRight w:val="0"/>
      <w:marTop w:val="0"/>
      <w:marBottom w:val="0"/>
      <w:divBdr>
        <w:top w:val="none" w:sz="0" w:space="0" w:color="auto"/>
        <w:left w:val="none" w:sz="0" w:space="0" w:color="auto"/>
        <w:bottom w:val="none" w:sz="0" w:space="0" w:color="auto"/>
        <w:right w:val="none" w:sz="0" w:space="0" w:color="auto"/>
      </w:divBdr>
    </w:div>
    <w:div w:id="410932474">
      <w:bodyDiv w:val="1"/>
      <w:marLeft w:val="0"/>
      <w:marRight w:val="0"/>
      <w:marTop w:val="0"/>
      <w:marBottom w:val="0"/>
      <w:divBdr>
        <w:top w:val="none" w:sz="0" w:space="0" w:color="auto"/>
        <w:left w:val="none" w:sz="0" w:space="0" w:color="auto"/>
        <w:bottom w:val="none" w:sz="0" w:space="0" w:color="auto"/>
        <w:right w:val="none" w:sz="0" w:space="0" w:color="auto"/>
      </w:divBdr>
    </w:div>
    <w:div w:id="414208660">
      <w:bodyDiv w:val="1"/>
      <w:marLeft w:val="0"/>
      <w:marRight w:val="0"/>
      <w:marTop w:val="0"/>
      <w:marBottom w:val="0"/>
      <w:divBdr>
        <w:top w:val="none" w:sz="0" w:space="0" w:color="auto"/>
        <w:left w:val="none" w:sz="0" w:space="0" w:color="auto"/>
        <w:bottom w:val="none" w:sz="0" w:space="0" w:color="auto"/>
        <w:right w:val="none" w:sz="0" w:space="0" w:color="auto"/>
      </w:divBdr>
    </w:div>
    <w:div w:id="414590672">
      <w:bodyDiv w:val="1"/>
      <w:marLeft w:val="0"/>
      <w:marRight w:val="0"/>
      <w:marTop w:val="0"/>
      <w:marBottom w:val="0"/>
      <w:divBdr>
        <w:top w:val="none" w:sz="0" w:space="0" w:color="auto"/>
        <w:left w:val="none" w:sz="0" w:space="0" w:color="auto"/>
        <w:bottom w:val="none" w:sz="0" w:space="0" w:color="auto"/>
        <w:right w:val="none" w:sz="0" w:space="0" w:color="auto"/>
      </w:divBdr>
    </w:div>
    <w:div w:id="430128658">
      <w:bodyDiv w:val="1"/>
      <w:marLeft w:val="0"/>
      <w:marRight w:val="0"/>
      <w:marTop w:val="0"/>
      <w:marBottom w:val="0"/>
      <w:divBdr>
        <w:top w:val="none" w:sz="0" w:space="0" w:color="auto"/>
        <w:left w:val="none" w:sz="0" w:space="0" w:color="auto"/>
        <w:bottom w:val="none" w:sz="0" w:space="0" w:color="auto"/>
        <w:right w:val="none" w:sz="0" w:space="0" w:color="auto"/>
      </w:divBdr>
    </w:div>
    <w:div w:id="434399251">
      <w:bodyDiv w:val="1"/>
      <w:marLeft w:val="0"/>
      <w:marRight w:val="0"/>
      <w:marTop w:val="0"/>
      <w:marBottom w:val="0"/>
      <w:divBdr>
        <w:top w:val="none" w:sz="0" w:space="0" w:color="auto"/>
        <w:left w:val="none" w:sz="0" w:space="0" w:color="auto"/>
        <w:bottom w:val="none" w:sz="0" w:space="0" w:color="auto"/>
        <w:right w:val="none" w:sz="0" w:space="0" w:color="auto"/>
      </w:divBdr>
    </w:div>
    <w:div w:id="445271352">
      <w:bodyDiv w:val="1"/>
      <w:marLeft w:val="0"/>
      <w:marRight w:val="0"/>
      <w:marTop w:val="0"/>
      <w:marBottom w:val="0"/>
      <w:divBdr>
        <w:top w:val="none" w:sz="0" w:space="0" w:color="auto"/>
        <w:left w:val="none" w:sz="0" w:space="0" w:color="auto"/>
        <w:bottom w:val="none" w:sz="0" w:space="0" w:color="auto"/>
        <w:right w:val="none" w:sz="0" w:space="0" w:color="auto"/>
      </w:divBdr>
    </w:div>
    <w:div w:id="454324923">
      <w:bodyDiv w:val="1"/>
      <w:marLeft w:val="0"/>
      <w:marRight w:val="0"/>
      <w:marTop w:val="0"/>
      <w:marBottom w:val="0"/>
      <w:divBdr>
        <w:top w:val="none" w:sz="0" w:space="0" w:color="auto"/>
        <w:left w:val="none" w:sz="0" w:space="0" w:color="auto"/>
        <w:bottom w:val="none" w:sz="0" w:space="0" w:color="auto"/>
        <w:right w:val="none" w:sz="0" w:space="0" w:color="auto"/>
      </w:divBdr>
    </w:div>
    <w:div w:id="457604357">
      <w:bodyDiv w:val="1"/>
      <w:marLeft w:val="0"/>
      <w:marRight w:val="0"/>
      <w:marTop w:val="0"/>
      <w:marBottom w:val="0"/>
      <w:divBdr>
        <w:top w:val="none" w:sz="0" w:space="0" w:color="auto"/>
        <w:left w:val="none" w:sz="0" w:space="0" w:color="auto"/>
        <w:bottom w:val="none" w:sz="0" w:space="0" w:color="auto"/>
        <w:right w:val="none" w:sz="0" w:space="0" w:color="auto"/>
      </w:divBdr>
    </w:div>
    <w:div w:id="468131238">
      <w:bodyDiv w:val="1"/>
      <w:marLeft w:val="0"/>
      <w:marRight w:val="0"/>
      <w:marTop w:val="0"/>
      <w:marBottom w:val="0"/>
      <w:divBdr>
        <w:top w:val="none" w:sz="0" w:space="0" w:color="auto"/>
        <w:left w:val="none" w:sz="0" w:space="0" w:color="auto"/>
        <w:bottom w:val="none" w:sz="0" w:space="0" w:color="auto"/>
        <w:right w:val="none" w:sz="0" w:space="0" w:color="auto"/>
      </w:divBdr>
    </w:div>
    <w:div w:id="475493629">
      <w:bodyDiv w:val="1"/>
      <w:marLeft w:val="0"/>
      <w:marRight w:val="0"/>
      <w:marTop w:val="0"/>
      <w:marBottom w:val="0"/>
      <w:divBdr>
        <w:top w:val="none" w:sz="0" w:space="0" w:color="auto"/>
        <w:left w:val="none" w:sz="0" w:space="0" w:color="auto"/>
        <w:bottom w:val="none" w:sz="0" w:space="0" w:color="auto"/>
        <w:right w:val="none" w:sz="0" w:space="0" w:color="auto"/>
      </w:divBdr>
    </w:div>
    <w:div w:id="498690042">
      <w:bodyDiv w:val="1"/>
      <w:marLeft w:val="0"/>
      <w:marRight w:val="0"/>
      <w:marTop w:val="0"/>
      <w:marBottom w:val="0"/>
      <w:divBdr>
        <w:top w:val="none" w:sz="0" w:space="0" w:color="auto"/>
        <w:left w:val="none" w:sz="0" w:space="0" w:color="auto"/>
        <w:bottom w:val="none" w:sz="0" w:space="0" w:color="auto"/>
        <w:right w:val="none" w:sz="0" w:space="0" w:color="auto"/>
      </w:divBdr>
    </w:div>
    <w:div w:id="502205287">
      <w:bodyDiv w:val="1"/>
      <w:marLeft w:val="0"/>
      <w:marRight w:val="0"/>
      <w:marTop w:val="0"/>
      <w:marBottom w:val="0"/>
      <w:divBdr>
        <w:top w:val="none" w:sz="0" w:space="0" w:color="auto"/>
        <w:left w:val="none" w:sz="0" w:space="0" w:color="auto"/>
        <w:bottom w:val="none" w:sz="0" w:space="0" w:color="auto"/>
        <w:right w:val="none" w:sz="0" w:space="0" w:color="auto"/>
      </w:divBdr>
    </w:div>
    <w:div w:id="508568092">
      <w:bodyDiv w:val="1"/>
      <w:marLeft w:val="0"/>
      <w:marRight w:val="0"/>
      <w:marTop w:val="0"/>
      <w:marBottom w:val="0"/>
      <w:divBdr>
        <w:top w:val="none" w:sz="0" w:space="0" w:color="auto"/>
        <w:left w:val="none" w:sz="0" w:space="0" w:color="auto"/>
        <w:bottom w:val="none" w:sz="0" w:space="0" w:color="auto"/>
        <w:right w:val="none" w:sz="0" w:space="0" w:color="auto"/>
      </w:divBdr>
    </w:div>
    <w:div w:id="509876114">
      <w:bodyDiv w:val="1"/>
      <w:marLeft w:val="0"/>
      <w:marRight w:val="0"/>
      <w:marTop w:val="0"/>
      <w:marBottom w:val="0"/>
      <w:divBdr>
        <w:top w:val="none" w:sz="0" w:space="0" w:color="auto"/>
        <w:left w:val="none" w:sz="0" w:space="0" w:color="auto"/>
        <w:bottom w:val="none" w:sz="0" w:space="0" w:color="auto"/>
        <w:right w:val="none" w:sz="0" w:space="0" w:color="auto"/>
      </w:divBdr>
    </w:div>
    <w:div w:id="511259135">
      <w:bodyDiv w:val="1"/>
      <w:marLeft w:val="0"/>
      <w:marRight w:val="0"/>
      <w:marTop w:val="0"/>
      <w:marBottom w:val="0"/>
      <w:divBdr>
        <w:top w:val="none" w:sz="0" w:space="0" w:color="auto"/>
        <w:left w:val="none" w:sz="0" w:space="0" w:color="auto"/>
        <w:bottom w:val="none" w:sz="0" w:space="0" w:color="auto"/>
        <w:right w:val="none" w:sz="0" w:space="0" w:color="auto"/>
      </w:divBdr>
    </w:div>
    <w:div w:id="523324157">
      <w:bodyDiv w:val="1"/>
      <w:marLeft w:val="0"/>
      <w:marRight w:val="0"/>
      <w:marTop w:val="0"/>
      <w:marBottom w:val="0"/>
      <w:divBdr>
        <w:top w:val="none" w:sz="0" w:space="0" w:color="auto"/>
        <w:left w:val="none" w:sz="0" w:space="0" w:color="auto"/>
        <w:bottom w:val="none" w:sz="0" w:space="0" w:color="auto"/>
        <w:right w:val="none" w:sz="0" w:space="0" w:color="auto"/>
      </w:divBdr>
    </w:div>
    <w:div w:id="533689442">
      <w:bodyDiv w:val="1"/>
      <w:marLeft w:val="0"/>
      <w:marRight w:val="0"/>
      <w:marTop w:val="0"/>
      <w:marBottom w:val="0"/>
      <w:divBdr>
        <w:top w:val="none" w:sz="0" w:space="0" w:color="auto"/>
        <w:left w:val="none" w:sz="0" w:space="0" w:color="auto"/>
        <w:bottom w:val="none" w:sz="0" w:space="0" w:color="auto"/>
        <w:right w:val="none" w:sz="0" w:space="0" w:color="auto"/>
      </w:divBdr>
    </w:div>
    <w:div w:id="535431830">
      <w:bodyDiv w:val="1"/>
      <w:marLeft w:val="0"/>
      <w:marRight w:val="0"/>
      <w:marTop w:val="0"/>
      <w:marBottom w:val="0"/>
      <w:divBdr>
        <w:top w:val="none" w:sz="0" w:space="0" w:color="auto"/>
        <w:left w:val="none" w:sz="0" w:space="0" w:color="auto"/>
        <w:bottom w:val="none" w:sz="0" w:space="0" w:color="auto"/>
        <w:right w:val="none" w:sz="0" w:space="0" w:color="auto"/>
      </w:divBdr>
    </w:div>
    <w:div w:id="538473280">
      <w:bodyDiv w:val="1"/>
      <w:marLeft w:val="0"/>
      <w:marRight w:val="0"/>
      <w:marTop w:val="0"/>
      <w:marBottom w:val="0"/>
      <w:divBdr>
        <w:top w:val="none" w:sz="0" w:space="0" w:color="auto"/>
        <w:left w:val="none" w:sz="0" w:space="0" w:color="auto"/>
        <w:bottom w:val="none" w:sz="0" w:space="0" w:color="auto"/>
        <w:right w:val="none" w:sz="0" w:space="0" w:color="auto"/>
      </w:divBdr>
    </w:div>
    <w:div w:id="539054388">
      <w:bodyDiv w:val="1"/>
      <w:marLeft w:val="0"/>
      <w:marRight w:val="0"/>
      <w:marTop w:val="0"/>
      <w:marBottom w:val="0"/>
      <w:divBdr>
        <w:top w:val="none" w:sz="0" w:space="0" w:color="auto"/>
        <w:left w:val="none" w:sz="0" w:space="0" w:color="auto"/>
        <w:bottom w:val="none" w:sz="0" w:space="0" w:color="auto"/>
        <w:right w:val="none" w:sz="0" w:space="0" w:color="auto"/>
      </w:divBdr>
    </w:div>
    <w:div w:id="553856261">
      <w:bodyDiv w:val="1"/>
      <w:marLeft w:val="0"/>
      <w:marRight w:val="0"/>
      <w:marTop w:val="0"/>
      <w:marBottom w:val="0"/>
      <w:divBdr>
        <w:top w:val="none" w:sz="0" w:space="0" w:color="auto"/>
        <w:left w:val="none" w:sz="0" w:space="0" w:color="auto"/>
        <w:bottom w:val="none" w:sz="0" w:space="0" w:color="auto"/>
        <w:right w:val="none" w:sz="0" w:space="0" w:color="auto"/>
      </w:divBdr>
    </w:div>
    <w:div w:id="561062730">
      <w:bodyDiv w:val="1"/>
      <w:marLeft w:val="0"/>
      <w:marRight w:val="0"/>
      <w:marTop w:val="0"/>
      <w:marBottom w:val="0"/>
      <w:divBdr>
        <w:top w:val="none" w:sz="0" w:space="0" w:color="auto"/>
        <w:left w:val="none" w:sz="0" w:space="0" w:color="auto"/>
        <w:bottom w:val="none" w:sz="0" w:space="0" w:color="auto"/>
        <w:right w:val="none" w:sz="0" w:space="0" w:color="auto"/>
      </w:divBdr>
    </w:div>
    <w:div w:id="569000215">
      <w:bodyDiv w:val="1"/>
      <w:marLeft w:val="0"/>
      <w:marRight w:val="0"/>
      <w:marTop w:val="0"/>
      <w:marBottom w:val="0"/>
      <w:divBdr>
        <w:top w:val="none" w:sz="0" w:space="0" w:color="auto"/>
        <w:left w:val="none" w:sz="0" w:space="0" w:color="auto"/>
        <w:bottom w:val="none" w:sz="0" w:space="0" w:color="auto"/>
        <w:right w:val="none" w:sz="0" w:space="0" w:color="auto"/>
      </w:divBdr>
    </w:div>
    <w:div w:id="569774569">
      <w:bodyDiv w:val="1"/>
      <w:marLeft w:val="0"/>
      <w:marRight w:val="0"/>
      <w:marTop w:val="0"/>
      <w:marBottom w:val="0"/>
      <w:divBdr>
        <w:top w:val="none" w:sz="0" w:space="0" w:color="auto"/>
        <w:left w:val="none" w:sz="0" w:space="0" w:color="auto"/>
        <w:bottom w:val="none" w:sz="0" w:space="0" w:color="auto"/>
        <w:right w:val="none" w:sz="0" w:space="0" w:color="auto"/>
      </w:divBdr>
    </w:div>
    <w:div w:id="571701178">
      <w:bodyDiv w:val="1"/>
      <w:marLeft w:val="0"/>
      <w:marRight w:val="0"/>
      <w:marTop w:val="0"/>
      <w:marBottom w:val="0"/>
      <w:divBdr>
        <w:top w:val="none" w:sz="0" w:space="0" w:color="auto"/>
        <w:left w:val="none" w:sz="0" w:space="0" w:color="auto"/>
        <w:bottom w:val="none" w:sz="0" w:space="0" w:color="auto"/>
        <w:right w:val="none" w:sz="0" w:space="0" w:color="auto"/>
      </w:divBdr>
    </w:div>
    <w:div w:id="580530336">
      <w:bodyDiv w:val="1"/>
      <w:marLeft w:val="0"/>
      <w:marRight w:val="0"/>
      <w:marTop w:val="0"/>
      <w:marBottom w:val="0"/>
      <w:divBdr>
        <w:top w:val="none" w:sz="0" w:space="0" w:color="auto"/>
        <w:left w:val="none" w:sz="0" w:space="0" w:color="auto"/>
        <w:bottom w:val="none" w:sz="0" w:space="0" w:color="auto"/>
        <w:right w:val="none" w:sz="0" w:space="0" w:color="auto"/>
      </w:divBdr>
    </w:div>
    <w:div w:id="595673025">
      <w:bodyDiv w:val="1"/>
      <w:marLeft w:val="0"/>
      <w:marRight w:val="0"/>
      <w:marTop w:val="0"/>
      <w:marBottom w:val="0"/>
      <w:divBdr>
        <w:top w:val="none" w:sz="0" w:space="0" w:color="auto"/>
        <w:left w:val="none" w:sz="0" w:space="0" w:color="auto"/>
        <w:bottom w:val="none" w:sz="0" w:space="0" w:color="auto"/>
        <w:right w:val="none" w:sz="0" w:space="0" w:color="auto"/>
      </w:divBdr>
    </w:div>
    <w:div w:id="602569807">
      <w:bodyDiv w:val="1"/>
      <w:marLeft w:val="0"/>
      <w:marRight w:val="0"/>
      <w:marTop w:val="0"/>
      <w:marBottom w:val="0"/>
      <w:divBdr>
        <w:top w:val="none" w:sz="0" w:space="0" w:color="auto"/>
        <w:left w:val="none" w:sz="0" w:space="0" w:color="auto"/>
        <w:bottom w:val="none" w:sz="0" w:space="0" w:color="auto"/>
        <w:right w:val="none" w:sz="0" w:space="0" w:color="auto"/>
      </w:divBdr>
    </w:div>
    <w:div w:id="606499254">
      <w:bodyDiv w:val="1"/>
      <w:marLeft w:val="0"/>
      <w:marRight w:val="0"/>
      <w:marTop w:val="0"/>
      <w:marBottom w:val="0"/>
      <w:divBdr>
        <w:top w:val="none" w:sz="0" w:space="0" w:color="auto"/>
        <w:left w:val="none" w:sz="0" w:space="0" w:color="auto"/>
        <w:bottom w:val="none" w:sz="0" w:space="0" w:color="auto"/>
        <w:right w:val="none" w:sz="0" w:space="0" w:color="auto"/>
      </w:divBdr>
    </w:div>
    <w:div w:id="607080839">
      <w:bodyDiv w:val="1"/>
      <w:marLeft w:val="0"/>
      <w:marRight w:val="0"/>
      <w:marTop w:val="0"/>
      <w:marBottom w:val="0"/>
      <w:divBdr>
        <w:top w:val="none" w:sz="0" w:space="0" w:color="auto"/>
        <w:left w:val="none" w:sz="0" w:space="0" w:color="auto"/>
        <w:bottom w:val="none" w:sz="0" w:space="0" w:color="auto"/>
        <w:right w:val="none" w:sz="0" w:space="0" w:color="auto"/>
      </w:divBdr>
    </w:div>
    <w:div w:id="607667282">
      <w:bodyDiv w:val="1"/>
      <w:marLeft w:val="0"/>
      <w:marRight w:val="0"/>
      <w:marTop w:val="0"/>
      <w:marBottom w:val="0"/>
      <w:divBdr>
        <w:top w:val="none" w:sz="0" w:space="0" w:color="auto"/>
        <w:left w:val="none" w:sz="0" w:space="0" w:color="auto"/>
        <w:bottom w:val="none" w:sz="0" w:space="0" w:color="auto"/>
        <w:right w:val="none" w:sz="0" w:space="0" w:color="auto"/>
      </w:divBdr>
    </w:div>
    <w:div w:id="613749789">
      <w:bodyDiv w:val="1"/>
      <w:marLeft w:val="0"/>
      <w:marRight w:val="0"/>
      <w:marTop w:val="0"/>
      <w:marBottom w:val="0"/>
      <w:divBdr>
        <w:top w:val="none" w:sz="0" w:space="0" w:color="auto"/>
        <w:left w:val="none" w:sz="0" w:space="0" w:color="auto"/>
        <w:bottom w:val="none" w:sz="0" w:space="0" w:color="auto"/>
        <w:right w:val="none" w:sz="0" w:space="0" w:color="auto"/>
      </w:divBdr>
    </w:div>
    <w:div w:id="614097741">
      <w:bodyDiv w:val="1"/>
      <w:marLeft w:val="0"/>
      <w:marRight w:val="0"/>
      <w:marTop w:val="0"/>
      <w:marBottom w:val="0"/>
      <w:divBdr>
        <w:top w:val="none" w:sz="0" w:space="0" w:color="auto"/>
        <w:left w:val="none" w:sz="0" w:space="0" w:color="auto"/>
        <w:bottom w:val="none" w:sz="0" w:space="0" w:color="auto"/>
        <w:right w:val="none" w:sz="0" w:space="0" w:color="auto"/>
      </w:divBdr>
    </w:div>
    <w:div w:id="622149582">
      <w:bodyDiv w:val="1"/>
      <w:marLeft w:val="0"/>
      <w:marRight w:val="0"/>
      <w:marTop w:val="0"/>
      <w:marBottom w:val="0"/>
      <w:divBdr>
        <w:top w:val="none" w:sz="0" w:space="0" w:color="auto"/>
        <w:left w:val="none" w:sz="0" w:space="0" w:color="auto"/>
        <w:bottom w:val="none" w:sz="0" w:space="0" w:color="auto"/>
        <w:right w:val="none" w:sz="0" w:space="0" w:color="auto"/>
      </w:divBdr>
    </w:div>
    <w:div w:id="628367154">
      <w:bodyDiv w:val="1"/>
      <w:marLeft w:val="0"/>
      <w:marRight w:val="0"/>
      <w:marTop w:val="0"/>
      <w:marBottom w:val="0"/>
      <w:divBdr>
        <w:top w:val="none" w:sz="0" w:space="0" w:color="auto"/>
        <w:left w:val="none" w:sz="0" w:space="0" w:color="auto"/>
        <w:bottom w:val="none" w:sz="0" w:space="0" w:color="auto"/>
        <w:right w:val="none" w:sz="0" w:space="0" w:color="auto"/>
      </w:divBdr>
    </w:div>
    <w:div w:id="629896999">
      <w:bodyDiv w:val="1"/>
      <w:marLeft w:val="0"/>
      <w:marRight w:val="0"/>
      <w:marTop w:val="0"/>
      <w:marBottom w:val="0"/>
      <w:divBdr>
        <w:top w:val="none" w:sz="0" w:space="0" w:color="auto"/>
        <w:left w:val="none" w:sz="0" w:space="0" w:color="auto"/>
        <w:bottom w:val="none" w:sz="0" w:space="0" w:color="auto"/>
        <w:right w:val="none" w:sz="0" w:space="0" w:color="auto"/>
      </w:divBdr>
    </w:div>
    <w:div w:id="630718504">
      <w:bodyDiv w:val="1"/>
      <w:marLeft w:val="0"/>
      <w:marRight w:val="0"/>
      <w:marTop w:val="0"/>
      <w:marBottom w:val="0"/>
      <w:divBdr>
        <w:top w:val="none" w:sz="0" w:space="0" w:color="auto"/>
        <w:left w:val="none" w:sz="0" w:space="0" w:color="auto"/>
        <w:bottom w:val="none" w:sz="0" w:space="0" w:color="auto"/>
        <w:right w:val="none" w:sz="0" w:space="0" w:color="auto"/>
      </w:divBdr>
    </w:div>
    <w:div w:id="636032594">
      <w:bodyDiv w:val="1"/>
      <w:marLeft w:val="0"/>
      <w:marRight w:val="0"/>
      <w:marTop w:val="0"/>
      <w:marBottom w:val="0"/>
      <w:divBdr>
        <w:top w:val="none" w:sz="0" w:space="0" w:color="auto"/>
        <w:left w:val="none" w:sz="0" w:space="0" w:color="auto"/>
        <w:bottom w:val="none" w:sz="0" w:space="0" w:color="auto"/>
        <w:right w:val="none" w:sz="0" w:space="0" w:color="auto"/>
      </w:divBdr>
    </w:div>
    <w:div w:id="643119313">
      <w:bodyDiv w:val="1"/>
      <w:marLeft w:val="0"/>
      <w:marRight w:val="0"/>
      <w:marTop w:val="0"/>
      <w:marBottom w:val="0"/>
      <w:divBdr>
        <w:top w:val="none" w:sz="0" w:space="0" w:color="auto"/>
        <w:left w:val="none" w:sz="0" w:space="0" w:color="auto"/>
        <w:bottom w:val="none" w:sz="0" w:space="0" w:color="auto"/>
        <w:right w:val="none" w:sz="0" w:space="0" w:color="auto"/>
      </w:divBdr>
    </w:div>
    <w:div w:id="648484802">
      <w:bodyDiv w:val="1"/>
      <w:marLeft w:val="0"/>
      <w:marRight w:val="0"/>
      <w:marTop w:val="0"/>
      <w:marBottom w:val="0"/>
      <w:divBdr>
        <w:top w:val="none" w:sz="0" w:space="0" w:color="auto"/>
        <w:left w:val="none" w:sz="0" w:space="0" w:color="auto"/>
        <w:bottom w:val="none" w:sz="0" w:space="0" w:color="auto"/>
        <w:right w:val="none" w:sz="0" w:space="0" w:color="auto"/>
      </w:divBdr>
    </w:div>
    <w:div w:id="662321456">
      <w:bodyDiv w:val="1"/>
      <w:marLeft w:val="0"/>
      <w:marRight w:val="0"/>
      <w:marTop w:val="0"/>
      <w:marBottom w:val="0"/>
      <w:divBdr>
        <w:top w:val="none" w:sz="0" w:space="0" w:color="auto"/>
        <w:left w:val="none" w:sz="0" w:space="0" w:color="auto"/>
        <w:bottom w:val="none" w:sz="0" w:space="0" w:color="auto"/>
        <w:right w:val="none" w:sz="0" w:space="0" w:color="auto"/>
      </w:divBdr>
    </w:div>
    <w:div w:id="681475538">
      <w:bodyDiv w:val="1"/>
      <w:marLeft w:val="0"/>
      <w:marRight w:val="0"/>
      <w:marTop w:val="0"/>
      <w:marBottom w:val="0"/>
      <w:divBdr>
        <w:top w:val="none" w:sz="0" w:space="0" w:color="auto"/>
        <w:left w:val="none" w:sz="0" w:space="0" w:color="auto"/>
        <w:bottom w:val="none" w:sz="0" w:space="0" w:color="auto"/>
        <w:right w:val="none" w:sz="0" w:space="0" w:color="auto"/>
      </w:divBdr>
    </w:div>
    <w:div w:id="681974578">
      <w:bodyDiv w:val="1"/>
      <w:marLeft w:val="0"/>
      <w:marRight w:val="0"/>
      <w:marTop w:val="0"/>
      <w:marBottom w:val="0"/>
      <w:divBdr>
        <w:top w:val="none" w:sz="0" w:space="0" w:color="auto"/>
        <w:left w:val="none" w:sz="0" w:space="0" w:color="auto"/>
        <w:bottom w:val="none" w:sz="0" w:space="0" w:color="auto"/>
        <w:right w:val="none" w:sz="0" w:space="0" w:color="auto"/>
      </w:divBdr>
    </w:div>
    <w:div w:id="683899031">
      <w:bodyDiv w:val="1"/>
      <w:marLeft w:val="0"/>
      <w:marRight w:val="0"/>
      <w:marTop w:val="0"/>
      <w:marBottom w:val="0"/>
      <w:divBdr>
        <w:top w:val="none" w:sz="0" w:space="0" w:color="auto"/>
        <w:left w:val="none" w:sz="0" w:space="0" w:color="auto"/>
        <w:bottom w:val="none" w:sz="0" w:space="0" w:color="auto"/>
        <w:right w:val="none" w:sz="0" w:space="0" w:color="auto"/>
      </w:divBdr>
    </w:div>
    <w:div w:id="685835825">
      <w:bodyDiv w:val="1"/>
      <w:marLeft w:val="0"/>
      <w:marRight w:val="0"/>
      <w:marTop w:val="0"/>
      <w:marBottom w:val="0"/>
      <w:divBdr>
        <w:top w:val="none" w:sz="0" w:space="0" w:color="auto"/>
        <w:left w:val="none" w:sz="0" w:space="0" w:color="auto"/>
        <w:bottom w:val="none" w:sz="0" w:space="0" w:color="auto"/>
        <w:right w:val="none" w:sz="0" w:space="0" w:color="auto"/>
      </w:divBdr>
    </w:div>
    <w:div w:id="686098421">
      <w:bodyDiv w:val="1"/>
      <w:marLeft w:val="0"/>
      <w:marRight w:val="0"/>
      <w:marTop w:val="0"/>
      <w:marBottom w:val="0"/>
      <w:divBdr>
        <w:top w:val="none" w:sz="0" w:space="0" w:color="auto"/>
        <w:left w:val="none" w:sz="0" w:space="0" w:color="auto"/>
        <w:bottom w:val="none" w:sz="0" w:space="0" w:color="auto"/>
        <w:right w:val="none" w:sz="0" w:space="0" w:color="auto"/>
      </w:divBdr>
    </w:div>
    <w:div w:id="701128344">
      <w:bodyDiv w:val="1"/>
      <w:marLeft w:val="0"/>
      <w:marRight w:val="0"/>
      <w:marTop w:val="0"/>
      <w:marBottom w:val="0"/>
      <w:divBdr>
        <w:top w:val="none" w:sz="0" w:space="0" w:color="auto"/>
        <w:left w:val="none" w:sz="0" w:space="0" w:color="auto"/>
        <w:bottom w:val="none" w:sz="0" w:space="0" w:color="auto"/>
        <w:right w:val="none" w:sz="0" w:space="0" w:color="auto"/>
      </w:divBdr>
    </w:div>
    <w:div w:id="718167880">
      <w:bodyDiv w:val="1"/>
      <w:marLeft w:val="0"/>
      <w:marRight w:val="0"/>
      <w:marTop w:val="0"/>
      <w:marBottom w:val="0"/>
      <w:divBdr>
        <w:top w:val="none" w:sz="0" w:space="0" w:color="auto"/>
        <w:left w:val="none" w:sz="0" w:space="0" w:color="auto"/>
        <w:bottom w:val="none" w:sz="0" w:space="0" w:color="auto"/>
        <w:right w:val="none" w:sz="0" w:space="0" w:color="auto"/>
      </w:divBdr>
    </w:div>
    <w:div w:id="721833133">
      <w:bodyDiv w:val="1"/>
      <w:marLeft w:val="0"/>
      <w:marRight w:val="0"/>
      <w:marTop w:val="0"/>
      <w:marBottom w:val="0"/>
      <w:divBdr>
        <w:top w:val="none" w:sz="0" w:space="0" w:color="auto"/>
        <w:left w:val="none" w:sz="0" w:space="0" w:color="auto"/>
        <w:bottom w:val="none" w:sz="0" w:space="0" w:color="auto"/>
        <w:right w:val="none" w:sz="0" w:space="0" w:color="auto"/>
      </w:divBdr>
    </w:div>
    <w:div w:id="723332088">
      <w:bodyDiv w:val="1"/>
      <w:marLeft w:val="0"/>
      <w:marRight w:val="0"/>
      <w:marTop w:val="0"/>
      <w:marBottom w:val="0"/>
      <w:divBdr>
        <w:top w:val="none" w:sz="0" w:space="0" w:color="auto"/>
        <w:left w:val="none" w:sz="0" w:space="0" w:color="auto"/>
        <w:bottom w:val="none" w:sz="0" w:space="0" w:color="auto"/>
        <w:right w:val="none" w:sz="0" w:space="0" w:color="auto"/>
      </w:divBdr>
    </w:div>
    <w:div w:id="742988625">
      <w:bodyDiv w:val="1"/>
      <w:marLeft w:val="0"/>
      <w:marRight w:val="0"/>
      <w:marTop w:val="0"/>
      <w:marBottom w:val="0"/>
      <w:divBdr>
        <w:top w:val="none" w:sz="0" w:space="0" w:color="auto"/>
        <w:left w:val="none" w:sz="0" w:space="0" w:color="auto"/>
        <w:bottom w:val="none" w:sz="0" w:space="0" w:color="auto"/>
        <w:right w:val="none" w:sz="0" w:space="0" w:color="auto"/>
      </w:divBdr>
    </w:div>
    <w:div w:id="748233436">
      <w:bodyDiv w:val="1"/>
      <w:marLeft w:val="0"/>
      <w:marRight w:val="0"/>
      <w:marTop w:val="0"/>
      <w:marBottom w:val="0"/>
      <w:divBdr>
        <w:top w:val="none" w:sz="0" w:space="0" w:color="auto"/>
        <w:left w:val="none" w:sz="0" w:space="0" w:color="auto"/>
        <w:bottom w:val="none" w:sz="0" w:space="0" w:color="auto"/>
        <w:right w:val="none" w:sz="0" w:space="0" w:color="auto"/>
      </w:divBdr>
    </w:div>
    <w:div w:id="750396468">
      <w:bodyDiv w:val="1"/>
      <w:marLeft w:val="0"/>
      <w:marRight w:val="0"/>
      <w:marTop w:val="0"/>
      <w:marBottom w:val="0"/>
      <w:divBdr>
        <w:top w:val="none" w:sz="0" w:space="0" w:color="auto"/>
        <w:left w:val="none" w:sz="0" w:space="0" w:color="auto"/>
        <w:bottom w:val="none" w:sz="0" w:space="0" w:color="auto"/>
        <w:right w:val="none" w:sz="0" w:space="0" w:color="auto"/>
      </w:divBdr>
    </w:div>
    <w:div w:id="756487643">
      <w:bodyDiv w:val="1"/>
      <w:marLeft w:val="0"/>
      <w:marRight w:val="0"/>
      <w:marTop w:val="0"/>
      <w:marBottom w:val="0"/>
      <w:divBdr>
        <w:top w:val="none" w:sz="0" w:space="0" w:color="auto"/>
        <w:left w:val="none" w:sz="0" w:space="0" w:color="auto"/>
        <w:bottom w:val="none" w:sz="0" w:space="0" w:color="auto"/>
        <w:right w:val="none" w:sz="0" w:space="0" w:color="auto"/>
      </w:divBdr>
    </w:div>
    <w:div w:id="758405372">
      <w:bodyDiv w:val="1"/>
      <w:marLeft w:val="0"/>
      <w:marRight w:val="0"/>
      <w:marTop w:val="0"/>
      <w:marBottom w:val="0"/>
      <w:divBdr>
        <w:top w:val="none" w:sz="0" w:space="0" w:color="auto"/>
        <w:left w:val="none" w:sz="0" w:space="0" w:color="auto"/>
        <w:bottom w:val="none" w:sz="0" w:space="0" w:color="auto"/>
        <w:right w:val="none" w:sz="0" w:space="0" w:color="auto"/>
      </w:divBdr>
    </w:div>
    <w:div w:id="763497286">
      <w:bodyDiv w:val="1"/>
      <w:marLeft w:val="0"/>
      <w:marRight w:val="0"/>
      <w:marTop w:val="0"/>
      <w:marBottom w:val="0"/>
      <w:divBdr>
        <w:top w:val="none" w:sz="0" w:space="0" w:color="auto"/>
        <w:left w:val="none" w:sz="0" w:space="0" w:color="auto"/>
        <w:bottom w:val="none" w:sz="0" w:space="0" w:color="auto"/>
        <w:right w:val="none" w:sz="0" w:space="0" w:color="auto"/>
      </w:divBdr>
    </w:div>
    <w:div w:id="769814700">
      <w:bodyDiv w:val="1"/>
      <w:marLeft w:val="0"/>
      <w:marRight w:val="0"/>
      <w:marTop w:val="0"/>
      <w:marBottom w:val="0"/>
      <w:divBdr>
        <w:top w:val="none" w:sz="0" w:space="0" w:color="auto"/>
        <w:left w:val="none" w:sz="0" w:space="0" w:color="auto"/>
        <w:bottom w:val="none" w:sz="0" w:space="0" w:color="auto"/>
        <w:right w:val="none" w:sz="0" w:space="0" w:color="auto"/>
      </w:divBdr>
    </w:div>
    <w:div w:id="779184502">
      <w:bodyDiv w:val="1"/>
      <w:marLeft w:val="0"/>
      <w:marRight w:val="0"/>
      <w:marTop w:val="0"/>
      <w:marBottom w:val="0"/>
      <w:divBdr>
        <w:top w:val="none" w:sz="0" w:space="0" w:color="auto"/>
        <w:left w:val="none" w:sz="0" w:space="0" w:color="auto"/>
        <w:bottom w:val="none" w:sz="0" w:space="0" w:color="auto"/>
        <w:right w:val="none" w:sz="0" w:space="0" w:color="auto"/>
      </w:divBdr>
    </w:div>
    <w:div w:id="781848632">
      <w:bodyDiv w:val="1"/>
      <w:marLeft w:val="0"/>
      <w:marRight w:val="0"/>
      <w:marTop w:val="0"/>
      <w:marBottom w:val="0"/>
      <w:divBdr>
        <w:top w:val="none" w:sz="0" w:space="0" w:color="auto"/>
        <w:left w:val="none" w:sz="0" w:space="0" w:color="auto"/>
        <w:bottom w:val="none" w:sz="0" w:space="0" w:color="auto"/>
        <w:right w:val="none" w:sz="0" w:space="0" w:color="auto"/>
      </w:divBdr>
    </w:div>
    <w:div w:id="799609071">
      <w:bodyDiv w:val="1"/>
      <w:marLeft w:val="0"/>
      <w:marRight w:val="0"/>
      <w:marTop w:val="0"/>
      <w:marBottom w:val="0"/>
      <w:divBdr>
        <w:top w:val="none" w:sz="0" w:space="0" w:color="auto"/>
        <w:left w:val="none" w:sz="0" w:space="0" w:color="auto"/>
        <w:bottom w:val="none" w:sz="0" w:space="0" w:color="auto"/>
        <w:right w:val="none" w:sz="0" w:space="0" w:color="auto"/>
      </w:divBdr>
    </w:div>
    <w:div w:id="801581530">
      <w:bodyDiv w:val="1"/>
      <w:marLeft w:val="0"/>
      <w:marRight w:val="0"/>
      <w:marTop w:val="0"/>
      <w:marBottom w:val="0"/>
      <w:divBdr>
        <w:top w:val="none" w:sz="0" w:space="0" w:color="auto"/>
        <w:left w:val="none" w:sz="0" w:space="0" w:color="auto"/>
        <w:bottom w:val="none" w:sz="0" w:space="0" w:color="auto"/>
        <w:right w:val="none" w:sz="0" w:space="0" w:color="auto"/>
      </w:divBdr>
    </w:div>
    <w:div w:id="804734423">
      <w:bodyDiv w:val="1"/>
      <w:marLeft w:val="0"/>
      <w:marRight w:val="0"/>
      <w:marTop w:val="0"/>
      <w:marBottom w:val="0"/>
      <w:divBdr>
        <w:top w:val="none" w:sz="0" w:space="0" w:color="auto"/>
        <w:left w:val="none" w:sz="0" w:space="0" w:color="auto"/>
        <w:bottom w:val="none" w:sz="0" w:space="0" w:color="auto"/>
        <w:right w:val="none" w:sz="0" w:space="0" w:color="auto"/>
      </w:divBdr>
    </w:div>
    <w:div w:id="806777836">
      <w:bodyDiv w:val="1"/>
      <w:marLeft w:val="0"/>
      <w:marRight w:val="0"/>
      <w:marTop w:val="0"/>
      <w:marBottom w:val="0"/>
      <w:divBdr>
        <w:top w:val="none" w:sz="0" w:space="0" w:color="auto"/>
        <w:left w:val="none" w:sz="0" w:space="0" w:color="auto"/>
        <w:bottom w:val="none" w:sz="0" w:space="0" w:color="auto"/>
        <w:right w:val="none" w:sz="0" w:space="0" w:color="auto"/>
      </w:divBdr>
    </w:div>
    <w:div w:id="819271149">
      <w:bodyDiv w:val="1"/>
      <w:marLeft w:val="0"/>
      <w:marRight w:val="0"/>
      <w:marTop w:val="0"/>
      <w:marBottom w:val="0"/>
      <w:divBdr>
        <w:top w:val="none" w:sz="0" w:space="0" w:color="auto"/>
        <w:left w:val="none" w:sz="0" w:space="0" w:color="auto"/>
        <w:bottom w:val="none" w:sz="0" w:space="0" w:color="auto"/>
        <w:right w:val="none" w:sz="0" w:space="0" w:color="auto"/>
      </w:divBdr>
    </w:div>
    <w:div w:id="821435739">
      <w:bodyDiv w:val="1"/>
      <w:marLeft w:val="0"/>
      <w:marRight w:val="0"/>
      <w:marTop w:val="0"/>
      <w:marBottom w:val="0"/>
      <w:divBdr>
        <w:top w:val="none" w:sz="0" w:space="0" w:color="auto"/>
        <w:left w:val="none" w:sz="0" w:space="0" w:color="auto"/>
        <w:bottom w:val="none" w:sz="0" w:space="0" w:color="auto"/>
        <w:right w:val="none" w:sz="0" w:space="0" w:color="auto"/>
      </w:divBdr>
    </w:div>
    <w:div w:id="826240662">
      <w:bodyDiv w:val="1"/>
      <w:marLeft w:val="0"/>
      <w:marRight w:val="0"/>
      <w:marTop w:val="0"/>
      <w:marBottom w:val="0"/>
      <w:divBdr>
        <w:top w:val="none" w:sz="0" w:space="0" w:color="auto"/>
        <w:left w:val="none" w:sz="0" w:space="0" w:color="auto"/>
        <w:bottom w:val="none" w:sz="0" w:space="0" w:color="auto"/>
        <w:right w:val="none" w:sz="0" w:space="0" w:color="auto"/>
      </w:divBdr>
    </w:div>
    <w:div w:id="826244087">
      <w:bodyDiv w:val="1"/>
      <w:marLeft w:val="0"/>
      <w:marRight w:val="0"/>
      <w:marTop w:val="0"/>
      <w:marBottom w:val="0"/>
      <w:divBdr>
        <w:top w:val="none" w:sz="0" w:space="0" w:color="auto"/>
        <w:left w:val="none" w:sz="0" w:space="0" w:color="auto"/>
        <w:bottom w:val="none" w:sz="0" w:space="0" w:color="auto"/>
        <w:right w:val="none" w:sz="0" w:space="0" w:color="auto"/>
      </w:divBdr>
    </w:div>
    <w:div w:id="841119473">
      <w:bodyDiv w:val="1"/>
      <w:marLeft w:val="0"/>
      <w:marRight w:val="0"/>
      <w:marTop w:val="0"/>
      <w:marBottom w:val="0"/>
      <w:divBdr>
        <w:top w:val="none" w:sz="0" w:space="0" w:color="auto"/>
        <w:left w:val="none" w:sz="0" w:space="0" w:color="auto"/>
        <w:bottom w:val="none" w:sz="0" w:space="0" w:color="auto"/>
        <w:right w:val="none" w:sz="0" w:space="0" w:color="auto"/>
      </w:divBdr>
    </w:div>
    <w:div w:id="850873496">
      <w:bodyDiv w:val="1"/>
      <w:marLeft w:val="0"/>
      <w:marRight w:val="0"/>
      <w:marTop w:val="0"/>
      <w:marBottom w:val="0"/>
      <w:divBdr>
        <w:top w:val="none" w:sz="0" w:space="0" w:color="auto"/>
        <w:left w:val="none" w:sz="0" w:space="0" w:color="auto"/>
        <w:bottom w:val="none" w:sz="0" w:space="0" w:color="auto"/>
        <w:right w:val="none" w:sz="0" w:space="0" w:color="auto"/>
      </w:divBdr>
    </w:div>
    <w:div w:id="869413976">
      <w:bodyDiv w:val="1"/>
      <w:marLeft w:val="0"/>
      <w:marRight w:val="0"/>
      <w:marTop w:val="0"/>
      <w:marBottom w:val="0"/>
      <w:divBdr>
        <w:top w:val="none" w:sz="0" w:space="0" w:color="auto"/>
        <w:left w:val="none" w:sz="0" w:space="0" w:color="auto"/>
        <w:bottom w:val="none" w:sz="0" w:space="0" w:color="auto"/>
        <w:right w:val="none" w:sz="0" w:space="0" w:color="auto"/>
      </w:divBdr>
    </w:div>
    <w:div w:id="874461301">
      <w:bodyDiv w:val="1"/>
      <w:marLeft w:val="0"/>
      <w:marRight w:val="0"/>
      <w:marTop w:val="0"/>
      <w:marBottom w:val="0"/>
      <w:divBdr>
        <w:top w:val="none" w:sz="0" w:space="0" w:color="auto"/>
        <w:left w:val="none" w:sz="0" w:space="0" w:color="auto"/>
        <w:bottom w:val="none" w:sz="0" w:space="0" w:color="auto"/>
        <w:right w:val="none" w:sz="0" w:space="0" w:color="auto"/>
      </w:divBdr>
    </w:div>
    <w:div w:id="897785920">
      <w:bodyDiv w:val="1"/>
      <w:marLeft w:val="0"/>
      <w:marRight w:val="0"/>
      <w:marTop w:val="0"/>
      <w:marBottom w:val="0"/>
      <w:divBdr>
        <w:top w:val="none" w:sz="0" w:space="0" w:color="auto"/>
        <w:left w:val="none" w:sz="0" w:space="0" w:color="auto"/>
        <w:bottom w:val="none" w:sz="0" w:space="0" w:color="auto"/>
        <w:right w:val="none" w:sz="0" w:space="0" w:color="auto"/>
      </w:divBdr>
    </w:div>
    <w:div w:id="900752500">
      <w:bodyDiv w:val="1"/>
      <w:marLeft w:val="0"/>
      <w:marRight w:val="0"/>
      <w:marTop w:val="0"/>
      <w:marBottom w:val="0"/>
      <w:divBdr>
        <w:top w:val="none" w:sz="0" w:space="0" w:color="auto"/>
        <w:left w:val="none" w:sz="0" w:space="0" w:color="auto"/>
        <w:bottom w:val="none" w:sz="0" w:space="0" w:color="auto"/>
        <w:right w:val="none" w:sz="0" w:space="0" w:color="auto"/>
      </w:divBdr>
    </w:div>
    <w:div w:id="907181230">
      <w:bodyDiv w:val="1"/>
      <w:marLeft w:val="0"/>
      <w:marRight w:val="0"/>
      <w:marTop w:val="0"/>
      <w:marBottom w:val="0"/>
      <w:divBdr>
        <w:top w:val="none" w:sz="0" w:space="0" w:color="auto"/>
        <w:left w:val="none" w:sz="0" w:space="0" w:color="auto"/>
        <w:bottom w:val="none" w:sz="0" w:space="0" w:color="auto"/>
        <w:right w:val="none" w:sz="0" w:space="0" w:color="auto"/>
      </w:divBdr>
    </w:div>
    <w:div w:id="908883995">
      <w:bodyDiv w:val="1"/>
      <w:marLeft w:val="0"/>
      <w:marRight w:val="0"/>
      <w:marTop w:val="0"/>
      <w:marBottom w:val="0"/>
      <w:divBdr>
        <w:top w:val="none" w:sz="0" w:space="0" w:color="auto"/>
        <w:left w:val="none" w:sz="0" w:space="0" w:color="auto"/>
        <w:bottom w:val="none" w:sz="0" w:space="0" w:color="auto"/>
        <w:right w:val="none" w:sz="0" w:space="0" w:color="auto"/>
      </w:divBdr>
    </w:div>
    <w:div w:id="933322131">
      <w:bodyDiv w:val="1"/>
      <w:marLeft w:val="0"/>
      <w:marRight w:val="0"/>
      <w:marTop w:val="0"/>
      <w:marBottom w:val="0"/>
      <w:divBdr>
        <w:top w:val="none" w:sz="0" w:space="0" w:color="auto"/>
        <w:left w:val="none" w:sz="0" w:space="0" w:color="auto"/>
        <w:bottom w:val="none" w:sz="0" w:space="0" w:color="auto"/>
        <w:right w:val="none" w:sz="0" w:space="0" w:color="auto"/>
      </w:divBdr>
    </w:div>
    <w:div w:id="946349508">
      <w:bodyDiv w:val="1"/>
      <w:marLeft w:val="0"/>
      <w:marRight w:val="0"/>
      <w:marTop w:val="0"/>
      <w:marBottom w:val="0"/>
      <w:divBdr>
        <w:top w:val="none" w:sz="0" w:space="0" w:color="auto"/>
        <w:left w:val="none" w:sz="0" w:space="0" w:color="auto"/>
        <w:bottom w:val="none" w:sz="0" w:space="0" w:color="auto"/>
        <w:right w:val="none" w:sz="0" w:space="0" w:color="auto"/>
      </w:divBdr>
    </w:div>
    <w:div w:id="964042310">
      <w:bodyDiv w:val="1"/>
      <w:marLeft w:val="0"/>
      <w:marRight w:val="0"/>
      <w:marTop w:val="0"/>
      <w:marBottom w:val="0"/>
      <w:divBdr>
        <w:top w:val="none" w:sz="0" w:space="0" w:color="auto"/>
        <w:left w:val="none" w:sz="0" w:space="0" w:color="auto"/>
        <w:bottom w:val="none" w:sz="0" w:space="0" w:color="auto"/>
        <w:right w:val="none" w:sz="0" w:space="0" w:color="auto"/>
      </w:divBdr>
    </w:div>
    <w:div w:id="979649988">
      <w:bodyDiv w:val="1"/>
      <w:marLeft w:val="0"/>
      <w:marRight w:val="0"/>
      <w:marTop w:val="0"/>
      <w:marBottom w:val="0"/>
      <w:divBdr>
        <w:top w:val="none" w:sz="0" w:space="0" w:color="auto"/>
        <w:left w:val="none" w:sz="0" w:space="0" w:color="auto"/>
        <w:bottom w:val="none" w:sz="0" w:space="0" w:color="auto"/>
        <w:right w:val="none" w:sz="0" w:space="0" w:color="auto"/>
      </w:divBdr>
    </w:div>
    <w:div w:id="980579040">
      <w:bodyDiv w:val="1"/>
      <w:marLeft w:val="0"/>
      <w:marRight w:val="0"/>
      <w:marTop w:val="0"/>
      <w:marBottom w:val="0"/>
      <w:divBdr>
        <w:top w:val="none" w:sz="0" w:space="0" w:color="auto"/>
        <w:left w:val="none" w:sz="0" w:space="0" w:color="auto"/>
        <w:bottom w:val="none" w:sz="0" w:space="0" w:color="auto"/>
        <w:right w:val="none" w:sz="0" w:space="0" w:color="auto"/>
      </w:divBdr>
    </w:div>
    <w:div w:id="1001928595">
      <w:bodyDiv w:val="1"/>
      <w:marLeft w:val="0"/>
      <w:marRight w:val="0"/>
      <w:marTop w:val="0"/>
      <w:marBottom w:val="0"/>
      <w:divBdr>
        <w:top w:val="none" w:sz="0" w:space="0" w:color="auto"/>
        <w:left w:val="none" w:sz="0" w:space="0" w:color="auto"/>
        <w:bottom w:val="none" w:sz="0" w:space="0" w:color="auto"/>
        <w:right w:val="none" w:sz="0" w:space="0" w:color="auto"/>
      </w:divBdr>
    </w:div>
    <w:div w:id="1004015534">
      <w:bodyDiv w:val="1"/>
      <w:marLeft w:val="0"/>
      <w:marRight w:val="0"/>
      <w:marTop w:val="0"/>
      <w:marBottom w:val="0"/>
      <w:divBdr>
        <w:top w:val="none" w:sz="0" w:space="0" w:color="auto"/>
        <w:left w:val="none" w:sz="0" w:space="0" w:color="auto"/>
        <w:bottom w:val="none" w:sz="0" w:space="0" w:color="auto"/>
        <w:right w:val="none" w:sz="0" w:space="0" w:color="auto"/>
      </w:divBdr>
    </w:div>
    <w:div w:id="1010176666">
      <w:bodyDiv w:val="1"/>
      <w:marLeft w:val="0"/>
      <w:marRight w:val="0"/>
      <w:marTop w:val="0"/>
      <w:marBottom w:val="0"/>
      <w:divBdr>
        <w:top w:val="none" w:sz="0" w:space="0" w:color="auto"/>
        <w:left w:val="none" w:sz="0" w:space="0" w:color="auto"/>
        <w:bottom w:val="none" w:sz="0" w:space="0" w:color="auto"/>
        <w:right w:val="none" w:sz="0" w:space="0" w:color="auto"/>
      </w:divBdr>
    </w:div>
    <w:div w:id="1017465803">
      <w:bodyDiv w:val="1"/>
      <w:marLeft w:val="0"/>
      <w:marRight w:val="0"/>
      <w:marTop w:val="0"/>
      <w:marBottom w:val="0"/>
      <w:divBdr>
        <w:top w:val="none" w:sz="0" w:space="0" w:color="auto"/>
        <w:left w:val="none" w:sz="0" w:space="0" w:color="auto"/>
        <w:bottom w:val="none" w:sz="0" w:space="0" w:color="auto"/>
        <w:right w:val="none" w:sz="0" w:space="0" w:color="auto"/>
      </w:divBdr>
    </w:div>
    <w:div w:id="1019048367">
      <w:bodyDiv w:val="1"/>
      <w:marLeft w:val="0"/>
      <w:marRight w:val="0"/>
      <w:marTop w:val="0"/>
      <w:marBottom w:val="0"/>
      <w:divBdr>
        <w:top w:val="none" w:sz="0" w:space="0" w:color="auto"/>
        <w:left w:val="none" w:sz="0" w:space="0" w:color="auto"/>
        <w:bottom w:val="none" w:sz="0" w:space="0" w:color="auto"/>
        <w:right w:val="none" w:sz="0" w:space="0" w:color="auto"/>
      </w:divBdr>
    </w:div>
    <w:div w:id="1021275043">
      <w:bodyDiv w:val="1"/>
      <w:marLeft w:val="0"/>
      <w:marRight w:val="0"/>
      <w:marTop w:val="0"/>
      <w:marBottom w:val="0"/>
      <w:divBdr>
        <w:top w:val="none" w:sz="0" w:space="0" w:color="auto"/>
        <w:left w:val="none" w:sz="0" w:space="0" w:color="auto"/>
        <w:bottom w:val="none" w:sz="0" w:space="0" w:color="auto"/>
        <w:right w:val="none" w:sz="0" w:space="0" w:color="auto"/>
      </w:divBdr>
    </w:div>
    <w:div w:id="1023245418">
      <w:bodyDiv w:val="1"/>
      <w:marLeft w:val="0"/>
      <w:marRight w:val="0"/>
      <w:marTop w:val="0"/>
      <w:marBottom w:val="0"/>
      <w:divBdr>
        <w:top w:val="none" w:sz="0" w:space="0" w:color="auto"/>
        <w:left w:val="none" w:sz="0" w:space="0" w:color="auto"/>
        <w:bottom w:val="none" w:sz="0" w:space="0" w:color="auto"/>
        <w:right w:val="none" w:sz="0" w:space="0" w:color="auto"/>
      </w:divBdr>
    </w:div>
    <w:div w:id="1023483143">
      <w:bodyDiv w:val="1"/>
      <w:marLeft w:val="0"/>
      <w:marRight w:val="0"/>
      <w:marTop w:val="0"/>
      <w:marBottom w:val="0"/>
      <w:divBdr>
        <w:top w:val="none" w:sz="0" w:space="0" w:color="auto"/>
        <w:left w:val="none" w:sz="0" w:space="0" w:color="auto"/>
        <w:bottom w:val="none" w:sz="0" w:space="0" w:color="auto"/>
        <w:right w:val="none" w:sz="0" w:space="0" w:color="auto"/>
      </w:divBdr>
    </w:div>
    <w:div w:id="1037661499">
      <w:bodyDiv w:val="1"/>
      <w:marLeft w:val="0"/>
      <w:marRight w:val="0"/>
      <w:marTop w:val="0"/>
      <w:marBottom w:val="0"/>
      <w:divBdr>
        <w:top w:val="none" w:sz="0" w:space="0" w:color="auto"/>
        <w:left w:val="none" w:sz="0" w:space="0" w:color="auto"/>
        <w:bottom w:val="none" w:sz="0" w:space="0" w:color="auto"/>
        <w:right w:val="none" w:sz="0" w:space="0" w:color="auto"/>
      </w:divBdr>
    </w:div>
    <w:div w:id="1041897991">
      <w:bodyDiv w:val="1"/>
      <w:marLeft w:val="0"/>
      <w:marRight w:val="0"/>
      <w:marTop w:val="0"/>
      <w:marBottom w:val="0"/>
      <w:divBdr>
        <w:top w:val="none" w:sz="0" w:space="0" w:color="auto"/>
        <w:left w:val="none" w:sz="0" w:space="0" w:color="auto"/>
        <w:bottom w:val="none" w:sz="0" w:space="0" w:color="auto"/>
        <w:right w:val="none" w:sz="0" w:space="0" w:color="auto"/>
      </w:divBdr>
    </w:div>
    <w:div w:id="1043409766">
      <w:bodyDiv w:val="1"/>
      <w:marLeft w:val="0"/>
      <w:marRight w:val="0"/>
      <w:marTop w:val="0"/>
      <w:marBottom w:val="0"/>
      <w:divBdr>
        <w:top w:val="none" w:sz="0" w:space="0" w:color="auto"/>
        <w:left w:val="none" w:sz="0" w:space="0" w:color="auto"/>
        <w:bottom w:val="none" w:sz="0" w:space="0" w:color="auto"/>
        <w:right w:val="none" w:sz="0" w:space="0" w:color="auto"/>
      </w:divBdr>
    </w:div>
    <w:div w:id="1047727030">
      <w:bodyDiv w:val="1"/>
      <w:marLeft w:val="0"/>
      <w:marRight w:val="0"/>
      <w:marTop w:val="0"/>
      <w:marBottom w:val="0"/>
      <w:divBdr>
        <w:top w:val="none" w:sz="0" w:space="0" w:color="auto"/>
        <w:left w:val="none" w:sz="0" w:space="0" w:color="auto"/>
        <w:bottom w:val="none" w:sz="0" w:space="0" w:color="auto"/>
        <w:right w:val="none" w:sz="0" w:space="0" w:color="auto"/>
      </w:divBdr>
    </w:div>
    <w:div w:id="1051614828">
      <w:bodyDiv w:val="1"/>
      <w:marLeft w:val="0"/>
      <w:marRight w:val="0"/>
      <w:marTop w:val="0"/>
      <w:marBottom w:val="0"/>
      <w:divBdr>
        <w:top w:val="none" w:sz="0" w:space="0" w:color="auto"/>
        <w:left w:val="none" w:sz="0" w:space="0" w:color="auto"/>
        <w:bottom w:val="none" w:sz="0" w:space="0" w:color="auto"/>
        <w:right w:val="none" w:sz="0" w:space="0" w:color="auto"/>
      </w:divBdr>
    </w:div>
    <w:div w:id="1057047409">
      <w:bodyDiv w:val="1"/>
      <w:marLeft w:val="0"/>
      <w:marRight w:val="0"/>
      <w:marTop w:val="0"/>
      <w:marBottom w:val="0"/>
      <w:divBdr>
        <w:top w:val="none" w:sz="0" w:space="0" w:color="auto"/>
        <w:left w:val="none" w:sz="0" w:space="0" w:color="auto"/>
        <w:bottom w:val="none" w:sz="0" w:space="0" w:color="auto"/>
        <w:right w:val="none" w:sz="0" w:space="0" w:color="auto"/>
      </w:divBdr>
    </w:div>
    <w:div w:id="1069499332">
      <w:bodyDiv w:val="1"/>
      <w:marLeft w:val="0"/>
      <w:marRight w:val="0"/>
      <w:marTop w:val="0"/>
      <w:marBottom w:val="0"/>
      <w:divBdr>
        <w:top w:val="none" w:sz="0" w:space="0" w:color="auto"/>
        <w:left w:val="none" w:sz="0" w:space="0" w:color="auto"/>
        <w:bottom w:val="none" w:sz="0" w:space="0" w:color="auto"/>
        <w:right w:val="none" w:sz="0" w:space="0" w:color="auto"/>
      </w:divBdr>
    </w:div>
    <w:div w:id="1082993487">
      <w:bodyDiv w:val="1"/>
      <w:marLeft w:val="0"/>
      <w:marRight w:val="0"/>
      <w:marTop w:val="0"/>
      <w:marBottom w:val="0"/>
      <w:divBdr>
        <w:top w:val="none" w:sz="0" w:space="0" w:color="auto"/>
        <w:left w:val="none" w:sz="0" w:space="0" w:color="auto"/>
        <w:bottom w:val="none" w:sz="0" w:space="0" w:color="auto"/>
        <w:right w:val="none" w:sz="0" w:space="0" w:color="auto"/>
      </w:divBdr>
    </w:div>
    <w:div w:id="1087311231">
      <w:bodyDiv w:val="1"/>
      <w:marLeft w:val="0"/>
      <w:marRight w:val="0"/>
      <w:marTop w:val="0"/>
      <w:marBottom w:val="0"/>
      <w:divBdr>
        <w:top w:val="none" w:sz="0" w:space="0" w:color="auto"/>
        <w:left w:val="none" w:sz="0" w:space="0" w:color="auto"/>
        <w:bottom w:val="none" w:sz="0" w:space="0" w:color="auto"/>
        <w:right w:val="none" w:sz="0" w:space="0" w:color="auto"/>
      </w:divBdr>
    </w:div>
    <w:div w:id="1110129404">
      <w:bodyDiv w:val="1"/>
      <w:marLeft w:val="0"/>
      <w:marRight w:val="0"/>
      <w:marTop w:val="0"/>
      <w:marBottom w:val="0"/>
      <w:divBdr>
        <w:top w:val="none" w:sz="0" w:space="0" w:color="auto"/>
        <w:left w:val="none" w:sz="0" w:space="0" w:color="auto"/>
        <w:bottom w:val="none" w:sz="0" w:space="0" w:color="auto"/>
        <w:right w:val="none" w:sz="0" w:space="0" w:color="auto"/>
      </w:divBdr>
    </w:div>
    <w:div w:id="1118525285">
      <w:bodyDiv w:val="1"/>
      <w:marLeft w:val="0"/>
      <w:marRight w:val="0"/>
      <w:marTop w:val="0"/>
      <w:marBottom w:val="0"/>
      <w:divBdr>
        <w:top w:val="none" w:sz="0" w:space="0" w:color="auto"/>
        <w:left w:val="none" w:sz="0" w:space="0" w:color="auto"/>
        <w:bottom w:val="none" w:sz="0" w:space="0" w:color="auto"/>
        <w:right w:val="none" w:sz="0" w:space="0" w:color="auto"/>
      </w:divBdr>
    </w:div>
    <w:div w:id="1120108229">
      <w:bodyDiv w:val="1"/>
      <w:marLeft w:val="0"/>
      <w:marRight w:val="0"/>
      <w:marTop w:val="0"/>
      <w:marBottom w:val="0"/>
      <w:divBdr>
        <w:top w:val="none" w:sz="0" w:space="0" w:color="auto"/>
        <w:left w:val="none" w:sz="0" w:space="0" w:color="auto"/>
        <w:bottom w:val="none" w:sz="0" w:space="0" w:color="auto"/>
        <w:right w:val="none" w:sz="0" w:space="0" w:color="auto"/>
      </w:divBdr>
    </w:div>
    <w:div w:id="1130779781">
      <w:bodyDiv w:val="1"/>
      <w:marLeft w:val="0"/>
      <w:marRight w:val="0"/>
      <w:marTop w:val="0"/>
      <w:marBottom w:val="0"/>
      <w:divBdr>
        <w:top w:val="none" w:sz="0" w:space="0" w:color="auto"/>
        <w:left w:val="none" w:sz="0" w:space="0" w:color="auto"/>
        <w:bottom w:val="none" w:sz="0" w:space="0" w:color="auto"/>
        <w:right w:val="none" w:sz="0" w:space="0" w:color="auto"/>
      </w:divBdr>
    </w:div>
    <w:div w:id="1132747904">
      <w:bodyDiv w:val="1"/>
      <w:marLeft w:val="0"/>
      <w:marRight w:val="0"/>
      <w:marTop w:val="0"/>
      <w:marBottom w:val="0"/>
      <w:divBdr>
        <w:top w:val="none" w:sz="0" w:space="0" w:color="auto"/>
        <w:left w:val="none" w:sz="0" w:space="0" w:color="auto"/>
        <w:bottom w:val="none" w:sz="0" w:space="0" w:color="auto"/>
        <w:right w:val="none" w:sz="0" w:space="0" w:color="auto"/>
      </w:divBdr>
    </w:div>
    <w:div w:id="1142192080">
      <w:bodyDiv w:val="1"/>
      <w:marLeft w:val="0"/>
      <w:marRight w:val="0"/>
      <w:marTop w:val="0"/>
      <w:marBottom w:val="0"/>
      <w:divBdr>
        <w:top w:val="none" w:sz="0" w:space="0" w:color="auto"/>
        <w:left w:val="none" w:sz="0" w:space="0" w:color="auto"/>
        <w:bottom w:val="none" w:sz="0" w:space="0" w:color="auto"/>
        <w:right w:val="none" w:sz="0" w:space="0" w:color="auto"/>
      </w:divBdr>
    </w:div>
    <w:div w:id="1148397581">
      <w:bodyDiv w:val="1"/>
      <w:marLeft w:val="0"/>
      <w:marRight w:val="0"/>
      <w:marTop w:val="0"/>
      <w:marBottom w:val="0"/>
      <w:divBdr>
        <w:top w:val="none" w:sz="0" w:space="0" w:color="auto"/>
        <w:left w:val="none" w:sz="0" w:space="0" w:color="auto"/>
        <w:bottom w:val="none" w:sz="0" w:space="0" w:color="auto"/>
        <w:right w:val="none" w:sz="0" w:space="0" w:color="auto"/>
      </w:divBdr>
    </w:div>
    <w:div w:id="1153521823">
      <w:bodyDiv w:val="1"/>
      <w:marLeft w:val="0"/>
      <w:marRight w:val="0"/>
      <w:marTop w:val="0"/>
      <w:marBottom w:val="0"/>
      <w:divBdr>
        <w:top w:val="none" w:sz="0" w:space="0" w:color="auto"/>
        <w:left w:val="none" w:sz="0" w:space="0" w:color="auto"/>
        <w:bottom w:val="none" w:sz="0" w:space="0" w:color="auto"/>
        <w:right w:val="none" w:sz="0" w:space="0" w:color="auto"/>
      </w:divBdr>
    </w:div>
    <w:div w:id="1158419771">
      <w:bodyDiv w:val="1"/>
      <w:marLeft w:val="0"/>
      <w:marRight w:val="0"/>
      <w:marTop w:val="0"/>
      <w:marBottom w:val="0"/>
      <w:divBdr>
        <w:top w:val="none" w:sz="0" w:space="0" w:color="auto"/>
        <w:left w:val="none" w:sz="0" w:space="0" w:color="auto"/>
        <w:bottom w:val="none" w:sz="0" w:space="0" w:color="auto"/>
        <w:right w:val="none" w:sz="0" w:space="0" w:color="auto"/>
      </w:divBdr>
    </w:div>
    <w:div w:id="1169298325">
      <w:bodyDiv w:val="1"/>
      <w:marLeft w:val="0"/>
      <w:marRight w:val="0"/>
      <w:marTop w:val="0"/>
      <w:marBottom w:val="0"/>
      <w:divBdr>
        <w:top w:val="none" w:sz="0" w:space="0" w:color="auto"/>
        <w:left w:val="none" w:sz="0" w:space="0" w:color="auto"/>
        <w:bottom w:val="none" w:sz="0" w:space="0" w:color="auto"/>
        <w:right w:val="none" w:sz="0" w:space="0" w:color="auto"/>
      </w:divBdr>
    </w:div>
    <w:div w:id="1179268599">
      <w:bodyDiv w:val="1"/>
      <w:marLeft w:val="0"/>
      <w:marRight w:val="0"/>
      <w:marTop w:val="0"/>
      <w:marBottom w:val="0"/>
      <w:divBdr>
        <w:top w:val="none" w:sz="0" w:space="0" w:color="auto"/>
        <w:left w:val="none" w:sz="0" w:space="0" w:color="auto"/>
        <w:bottom w:val="none" w:sz="0" w:space="0" w:color="auto"/>
        <w:right w:val="none" w:sz="0" w:space="0" w:color="auto"/>
      </w:divBdr>
    </w:div>
    <w:div w:id="1182085886">
      <w:bodyDiv w:val="1"/>
      <w:marLeft w:val="0"/>
      <w:marRight w:val="0"/>
      <w:marTop w:val="0"/>
      <w:marBottom w:val="0"/>
      <w:divBdr>
        <w:top w:val="none" w:sz="0" w:space="0" w:color="auto"/>
        <w:left w:val="none" w:sz="0" w:space="0" w:color="auto"/>
        <w:bottom w:val="none" w:sz="0" w:space="0" w:color="auto"/>
        <w:right w:val="none" w:sz="0" w:space="0" w:color="auto"/>
      </w:divBdr>
    </w:div>
    <w:div w:id="1191258387">
      <w:bodyDiv w:val="1"/>
      <w:marLeft w:val="0"/>
      <w:marRight w:val="0"/>
      <w:marTop w:val="0"/>
      <w:marBottom w:val="0"/>
      <w:divBdr>
        <w:top w:val="none" w:sz="0" w:space="0" w:color="auto"/>
        <w:left w:val="none" w:sz="0" w:space="0" w:color="auto"/>
        <w:bottom w:val="none" w:sz="0" w:space="0" w:color="auto"/>
        <w:right w:val="none" w:sz="0" w:space="0" w:color="auto"/>
      </w:divBdr>
    </w:div>
    <w:div w:id="1204442958">
      <w:bodyDiv w:val="1"/>
      <w:marLeft w:val="0"/>
      <w:marRight w:val="0"/>
      <w:marTop w:val="0"/>
      <w:marBottom w:val="0"/>
      <w:divBdr>
        <w:top w:val="none" w:sz="0" w:space="0" w:color="auto"/>
        <w:left w:val="none" w:sz="0" w:space="0" w:color="auto"/>
        <w:bottom w:val="none" w:sz="0" w:space="0" w:color="auto"/>
        <w:right w:val="none" w:sz="0" w:space="0" w:color="auto"/>
      </w:divBdr>
    </w:div>
    <w:div w:id="1205749427">
      <w:bodyDiv w:val="1"/>
      <w:marLeft w:val="0"/>
      <w:marRight w:val="0"/>
      <w:marTop w:val="0"/>
      <w:marBottom w:val="0"/>
      <w:divBdr>
        <w:top w:val="none" w:sz="0" w:space="0" w:color="auto"/>
        <w:left w:val="none" w:sz="0" w:space="0" w:color="auto"/>
        <w:bottom w:val="none" w:sz="0" w:space="0" w:color="auto"/>
        <w:right w:val="none" w:sz="0" w:space="0" w:color="auto"/>
      </w:divBdr>
    </w:div>
    <w:div w:id="1211185494">
      <w:bodyDiv w:val="1"/>
      <w:marLeft w:val="0"/>
      <w:marRight w:val="0"/>
      <w:marTop w:val="0"/>
      <w:marBottom w:val="0"/>
      <w:divBdr>
        <w:top w:val="none" w:sz="0" w:space="0" w:color="auto"/>
        <w:left w:val="none" w:sz="0" w:space="0" w:color="auto"/>
        <w:bottom w:val="none" w:sz="0" w:space="0" w:color="auto"/>
        <w:right w:val="none" w:sz="0" w:space="0" w:color="auto"/>
      </w:divBdr>
    </w:div>
    <w:div w:id="1213542248">
      <w:bodyDiv w:val="1"/>
      <w:marLeft w:val="0"/>
      <w:marRight w:val="0"/>
      <w:marTop w:val="0"/>
      <w:marBottom w:val="0"/>
      <w:divBdr>
        <w:top w:val="none" w:sz="0" w:space="0" w:color="auto"/>
        <w:left w:val="none" w:sz="0" w:space="0" w:color="auto"/>
        <w:bottom w:val="none" w:sz="0" w:space="0" w:color="auto"/>
        <w:right w:val="none" w:sz="0" w:space="0" w:color="auto"/>
      </w:divBdr>
    </w:div>
    <w:div w:id="1223255002">
      <w:bodyDiv w:val="1"/>
      <w:marLeft w:val="0"/>
      <w:marRight w:val="0"/>
      <w:marTop w:val="0"/>
      <w:marBottom w:val="0"/>
      <w:divBdr>
        <w:top w:val="none" w:sz="0" w:space="0" w:color="auto"/>
        <w:left w:val="none" w:sz="0" w:space="0" w:color="auto"/>
        <w:bottom w:val="none" w:sz="0" w:space="0" w:color="auto"/>
        <w:right w:val="none" w:sz="0" w:space="0" w:color="auto"/>
      </w:divBdr>
    </w:div>
    <w:div w:id="1225987366">
      <w:bodyDiv w:val="1"/>
      <w:marLeft w:val="0"/>
      <w:marRight w:val="0"/>
      <w:marTop w:val="0"/>
      <w:marBottom w:val="0"/>
      <w:divBdr>
        <w:top w:val="none" w:sz="0" w:space="0" w:color="auto"/>
        <w:left w:val="none" w:sz="0" w:space="0" w:color="auto"/>
        <w:bottom w:val="none" w:sz="0" w:space="0" w:color="auto"/>
        <w:right w:val="none" w:sz="0" w:space="0" w:color="auto"/>
      </w:divBdr>
    </w:div>
    <w:div w:id="1234509297">
      <w:bodyDiv w:val="1"/>
      <w:marLeft w:val="0"/>
      <w:marRight w:val="0"/>
      <w:marTop w:val="0"/>
      <w:marBottom w:val="0"/>
      <w:divBdr>
        <w:top w:val="none" w:sz="0" w:space="0" w:color="auto"/>
        <w:left w:val="none" w:sz="0" w:space="0" w:color="auto"/>
        <w:bottom w:val="none" w:sz="0" w:space="0" w:color="auto"/>
        <w:right w:val="none" w:sz="0" w:space="0" w:color="auto"/>
      </w:divBdr>
    </w:div>
    <w:div w:id="1241596900">
      <w:bodyDiv w:val="1"/>
      <w:marLeft w:val="0"/>
      <w:marRight w:val="0"/>
      <w:marTop w:val="0"/>
      <w:marBottom w:val="0"/>
      <w:divBdr>
        <w:top w:val="none" w:sz="0" w:space="0" w:color="auto"/>
        <w:left w:val="none" w:sz="0" w:space="0" w:color="auto"/>
        <w:bottom w:val="none" w:sz="0" w:space="0" w:color="auto"/>
        <w:right w:val="none" w:sz="0" w:space="0" w:color="auto"/>
      </w:divBdr>
    </w:div>
    <w:div w:id="1242057072">
      <w:bodyDiv w:val="1"/>
      <w:marLeft w:val="0"/>
      <w:marRight w:val="0"/>
      <w:marTop w:val="0"/>
      <w:marBottom w:val="0"/>
      <w:divBdr>
        <w:top w:val="none" w:sz="0" w:space="0" w:color="auto"/>
        <w:left w:val="none" w:sz="0" w:space="0" w:color="auto"/>
        <w:bottom w:val="none" w:sz="0" w:space="0" w:color="auto"/>
        <w:right w:val="none" w:sz="0" w:space="0" w:color="auto"/>
      </w:divBdr>
    </w:div>
    <w:div w:id="1251423849">
      <w:bodyDiv w:val="1"/>
      <w:marLeft w:val="0"/>
      <w:marRight w:val="0"/>
      <w:marTop w:val="0"/>
      <w:marBottom w:val="0"/>
      <w:divBdr>
        <w:top w:val="none" w:sz="0" w:space="0" w:color="auto"/>
        <w:left w:val="none" w:sz="0" w:space="0" w:color="auto"/>
        <w:bottom w:val="none" w:sz="0" w:space="0" w:color="auto"/>
        <w:right w:val="none" w:sz="0" w:space="0" w:color="auto"/>
      </w:divBdr>
    </w:div>
    <w:div w:id="1259095480">
      <w:bodyDiv w:val="1"/>
      <w:marLeft w:val="0"/>
      <w:marRight w:val="0"/>
      <w:marTop w:val="0"/>
      <w:marBottom w:val="0"/>
      <w:divBdr>
        <w:top w:val="none" w:sz="0" w:space="0" w:color="auto"/>
        <w:left w:val="none" w:sz="0" w:space="0" w:color="auto"/>
        <w:bottom w:val="none" w:sz="0" w:space="0" w:color="auto"/>
        <w:right w:val="none" w:sz="0" w:space="0" w:color="auto"/>
      </w:divBdr>
    </w:div>
    <w:div w:id="1259218233">
      <w:bodyDiv w:val="1"/>
      <w:marLeft w:val="0"/>
      <w:marRight w:val="0"/>
      <w:marTop w:val="0"/>
      <w:marBottom w:val="0"/>
      <w:divBdr>
        <w:top w:val="none" w:sz="0" w:space="0" w:color="auto"/>
        <w:left w:val="none" w:sz="0" w:space="0" w:color="auto"/>
        <w:bottom w:val="none" w:sz="0" w:space="0" w:color="auto"/>
        <w:right w:val="none" w:sz="0" w:space="0" w:color="auto"/>
      </w:divBdr>
    </w:div>
    <w:div w:id="1264997546">
      <w:bodyDiv w:val="1"/>
      <w:marLeft w:val="0"/>
      <w:marRight w:val="0"/>
      <w:marTop w:val="0"/>
      <w:marBottom w:val="0"/>
      <w:divBdr>
        <w:top w:val="none" w:sz="0" w:space="0" w:color="auto"/>
        <w:left w:val="none" w:sz="0" w:space="0" w:color="auto"/>
        <w:bottom w:val="none" w:sz="0" w:space="0" w:color="auto"/>
        <w:right w:val="none" w:sz="0" w:space="0" w:color="auto"/>
      </w:divBdr>
    </w:div>
    <w:div w:id="1270159607">
      <w:bodyDiv w:val="1"/>
      <w:marLeft w:val="0"/>
      <w:marRight w:val="0"/>
      <w:marTop w:val="0"/>
      <w:marBottom w:val="0"/>
      <w:divBdr>
        <w:top w:val="none" w:sz="0" w:space="0" w:color="auto"/>
        <w:left w:val="none" w:sz="0" w:space="0" w:color="auto"/>
        <w:bottom w:val="none" w:sz="0" w:space="0" w:color="auto"/>
        <w:right w:val="none" w:sz="0" w:space="0" w:color="auto"/>
      </w:divBdr>
    </w:div>
    <w:div w:id="1272083875">
      <w:bodyDiv w:val="1"/>
      <w:marLeft w:val="0"/>
      <w:marRight w:val="0"/>
      <w:marTop w:val="0"/>
      <w:marBottom w:val="0"/>
      <w:divBdr>
        <w:top w:val="none" w:sz="0" w:space="0" w:color="auto"/>
        <w:left w:val="none" w:sz="0" w:space="0" w:color="auto"/>
        <w:bottom w:val="none" w:sz="0" w:space="0" w:color="auto"/>
        <w:right w:val="none" w:sz="0" w:space="0" w:color="auto"/>
      </w:divBdr>
    </w:div>
    <w:div w:id="1272661684">
      <w:bodyDiv w:val="1"/>
      <w:marLeft w:val="0"/>
      <w:marRight w:val="0"/>
      <w:marTop w:val="0"/>
      <w:marBottom w:val="0"/>
      <w:divBdr>
        <w:top w:val="none" w:sz="0" w:space="0" w:color="auto"/>
        <w:left w:val="none" w:sz="0" w:space="0" w:color="auto"/>
        <w:bottom w:val="none" w:sz="0" w:space="0" w:color="auto"/>
        <w:right w:val="none" w:sz="0" w:space="0" w:color="auto"/>
      </w:divBdr>
    </w:div>
    <w:div w:id="1273365823">
      <w:bodyDiv w:val="1"/>
      <w:marLeft w:val="0"/>
      <w:marRight w:val="0"/>
      <w:marTop w:val="0"/>
      <w:marBottom w:val="0"/>
      <w:divBdr>
        <w:top w:val="none" w:sz="0" w:space="0" w:color="auto"/>
        <w:left w:val="none" w:sz="0" w:space="0" w:color="auto"/>
        <w:bottom w:val="none" w:sz="0" w:space="0" w:color="auto"/>
        <w:right w:val="none" w:sz="0" w:space="0" w:color="auto"/>
      </w:divBdr>
    </w:div>
    <w:div w:id="1274091823">
      <w:bodyDiv w:val="1"/>
      <w:marLeft w:val="0"/>
      <w:marRight w:val="0"/>
      <w:marTop w:val="0"/>
      <w:marBottom w:val="0"/>
      <w:divBdr>
        <w:top w:val="none" w:sz="0" w:space="0" w:color="auto"/>
        <w:left w:val="none" w:sz="0" w:space="0" w:color="auto"/>
        <w:bottom w:val="none" w:sz="0" w:space="0" w:color="auto"/>
        <w:right w:val="none" w:sz="0" w:space="0" w:color="auto"/>
      </w:divBdr>
    </w:div>
    <w:div w:id="1276601522">
      <w:bodyDiv w:val="1"/>
      <w:marLeft w:val="0"/>
      <w:marRight w:val="0"/>
      <w:marTop w:val="0"/>
      <w:marBottom w:val="0"/>
      <w:divBdr>
        <w:top w:val="none" w:sz="0" w:space="0" w:color="auto"/>
        <w:left w:val="none" w:sz="0" w:space="0" w:color="auto"/>
        <w:bottom w:val="none" w:sz="0" w:space="0" w:color="auto"/>
        <w:right w:val="none" w:sz="0" w:space="0" w:color="auto"/>
      </w:divBdr>
    </w:div>
    <w:div w:id="1279531065">
      <w:bodyDiv w:val="1"/>
      <w:marLeft w:val="0"/>
      <w:marRight w:val="0"/>
      <w:marTop w:val="0"/>
      <w:marBottom w:val="0"/>
      <w:divBdr>
        <w:top w:val="none" w:sz="0" w:space="0" w:color="auto"/>
        <w:left w:val="none" w:sz="0" w:space="0" w:color="auto"/>
        <w:bottom w:val="none" w:sz="0" w:space="0" w:color="auto"/>
        <w:right w:val="none" w:sz="0" w:space="0" w:color="auto"/>
      </w:divBdr>
    </w:div>
    <w:div w:id="1295211885">
      <w:bodyDiv w:val="1"/>
      <w:marLeft w:val="0"/>
      <w:marRight w:val="0"/>
      <w:marTop w:val="0"/>
      <w:marBottom w:val="0"/>
      <w:divBdr>
        <w:top w:val="none" w:sz="0" w:space="0" w:color="auto"/>
        <w:left w:val="none" w:sz="0" w:space="0" w:color="auto"/>
        <w:bottom w:val="none" w:sz="0" w:space="0" w:color="auto"/>
        <w:right w:val="none" w:sz="0" w:space="0" w:color="auto"/>
      </w:divBdr>
    </w:div>
    <w:div w:id="1297297940">
      <w:bodyDiv w:val="1"/>
      <w:marLeft w:val="0"/>
      <w:marRight w:val="0"/>
      <w:marTop w:val="0"/>
      <w:marBottom w:val="0"/>
      <w:divBdr>
        <w:top w:val="none" w:sz="0" w:space="0" w:color="auto"/>
        <w:left w:val="none" w:sz="0" w:space="0" w:color="auto"/>
        <w:bottom w:val="none" w:sz="0" w:space="0" w:color="auto"/>
        <w:right w:val="none" w:sz="0" w:space="0" w:color="auto"/>
      </w:divBdr>
    </w:div>
    <w:div w:id="1308516172">
      <w:bodyDiv w:val="1"/>
      <w:marLeft w:val="0"/>
      <w:marRight w:val="0"/>
      <w:marTop w:val="0"/>
      <w:marBottom w:val="0"/>
      <w:divBdr>
        <w:top w:val="none" w:sz="0" w:space="0" w:color="auto"/>
        <w:left w:val="none" w:sz="0" w:space="0" w:color="auto"/>
        <w:bottom w:val="none" w:sz="0" w:space="0" w:color="auto"/>
        <w:right w:val="none" w:sz="0" w:space="0" w:color="auto"/>
      </w:divBdr>
    </w:div>
    <w:div w:id="1317757106">
      <w:bodyDiv w:val="1"/>
      <w:marLeft w:val="0"/>
      <w:marRight w:val="0"/>
      <w:marTop w:val="0"/>
      <w:marBottom w:val="0"/>
      <w:divBdr>
        <w:top w:val="none" w:sz="0" w:space="0" w:color="auto"/>
        <w:left w:val="none" w:sz="0" w:space="0" w:color="auto"/>
        <w:bottom w:val="none" w:sz="0" w:space="0" w:color="auto"/>
        <w:right w:val="none" w:sz="0" w:space="0" w:color="auto"/>
      </w:divBdr>
    </w:div>
    <w:div w:id="1321811752">
      <w:bodyDiv w:val="1"/>
      <w:marLeft w:val="0"/>
      <w:marRight w:val="0"/>
      <w:marTop w:val="0"/>
      <w:marBottom w:val="0"/>
      <w:divBdr>
        <w:top w:val="none" w:sz="0" w:space="0" w:color="auto"/>
        <w:left w:val="none" w:sz="0" w:space="0" w:color="auto"/>
        <w:bottom w:val="none" w:sz="0" w:space="0" w:color="auto"/>
        <w:right w:val="none" w:sz="0" w:space="0" w:color="auto"/>
      </w:divBdr>
    </w:div>
    <w:div w:id="1334335853">
      <w:bodyDiv w:val="1"/>
      <w:marLeft w:val="0"/>
      <w:marRight w:val="0"/>
      <w:marTop w:val="0"/>
      <w:marBottom w:val="0"/>
      <w:divBdr>
        <w:top w:val="none" w:sz="0" w:space="0" w:color="auto"/>
        <w:left w:val="none" w:sz="0" w:space="0" w:color="auto"/>
        <w:bottom w:val="none" w:sz="0" w:space="0" w:color="auto"/>
        <w:right w:val="none" w:sz="0" w:space="0" w:color="auto"/>
      </w:divBdr>
    </w:div>
    <w:div w:id="1337883362">
      <w:bodyDiv w:val="1"/>
      <w:marLeft w:val="0"/>
      <w:marRight w:val="0"/>
      <w:marTop w:val="0"/>
      <w:marBottom w:val="0"/>
      <w:divBdr>
        <w:top w:val="none" w:sz="0" w:space="0" w:color="auto"/>
        <w:left w:val="none" w:sz="0" w:space="0" w:color="auto"/>
        <w:bottom w:val="none" w:sz="0" w:space="0" w:color="auto"/>
        <w:right w:val="none" w:sz="0" w:space="0" w:color="auto"/>
      </w:divBdr>
    </w:div>
    <w:div w:id="1347564302">
      <w:bodyDiv w:val="1"/>
      <w:marLeft w:val="0"/>
      <w:marRight w:val="0"/>
      <w:marTop w:val="0"/>
      <w:marBottom w:val="0"/>
      <w:divBdr>
        <w:top w:val="none" w:sz="0" w:space="0" w:color="auto"/>
        <w:left w:val="none" w:sz="0" w:space="0" w:color="auto"/>
        <w:bottom w:val="none" w:sz="0" w:space="0" w:color="auto"/>
        <w:right w:val="none" w:sz="0" w:space="0" w:color="auto"/>
      </w:divBdr>
    </w:div>
    <w:div w:id="1348017401">
      <w:bodyDiv w:val="1"/>
      <w:marLeft w:val="0"/>
      <w:marRight w:val="0"/>
      <w:marTop w:val="0"/>
      <w:marBottom w:val="0"/>
      <w:divBdr>
        <w:top w:val="none" w:sz="0" w:space="0" w:color="auto"/>
        <w:left w:val="none" w:sz="0" w:space="0" w:color="auto"/>
        <w:bottom w:val="none" w:sz="0" w:space="0" w:color="auto"/>
        <w:right w:val="none" w:sz="0" w:space="0" w:color="auto"/>
      </w:divBdr>
    </w:div>
    <w:div w:id="1352562032">
      <w:bodyDiv w:val="1"/>
      <w:marLeft w:val="0"/>
      <w:marRight w:val="0"/>
      <w:marTop w:val="0"/>
      <w:marBottom w:val="0"/>
      <w:divBdr>
        <w:top w:val="none" w:sz="0" w:space="0" w:color="auto"/>
        <w:left w:val="none" w:sz="0" w:space="0" w:color="auto"/>
        <w:bottom w:val="none" w:sz="0" w:space="0" w:color="auto"/>
        <w:right w:val="none" w:sz="0" w:space="0" w:color="auto"/>
      </w:divBdr>
    </w:div>
    <w:div w:id="1366445246">
      <w:bodyDiv w:val="1"/>
      <w:marLeft w:val="0"/>
      <w:marRight w:val="0"/>
      <w:marTop w:val="0"/>
      <w:marBottom w:val="0"/>
      <w:divBdr>
        <w:top w:val="none" w:sz="0" w:space="0" w:color="auto"/>
        <w:left w:val="none" w:sz="0" w:space="0" w:color="auto"/>
        <w:bottom w:val="none" w:sz="0" w:space="0" w:color="auto"/>
        <w:right w:val="none" w:sz="0" w:space="0" w:color="auto"/>
      </w:divBdr>
    </w:div>
    <w:div w:id="1384476853">
      <w:bodyDiv w:val="1"/>
      <w:marLeft w:val="0"/>
      <w:marRight w:val="0"/>
      <w:marTop w:val="0"/>
      <w:marBottom w:val="0"/>
      <w:divBdr>
        <w:top w:val="none" w:sz="0" w:space="0" w:color="auto"/>
        <w:left w:val="none" w:sz="0" w:space="0" w:color="auto"/>
        <w:bottom w:val="none" w:sz="0" w:space="0" w:color="auto"/>
        <w:right w:val="none" w:sz="0" w:space="0" w:color="auto"/>
      </w:divBdr>
    </w:div>
    <w:div w:id="1386486364">
      <w:bodyDiv w:val="1"/>
      <w:marLeft w:val="0"/>
      <w:marRight w:val="0"/>
      <w:marTop w:val="0"/>
      <w:marBottom w:val="0"/>
      <w:divBdr>
        <w:top w:val="none" w:sz="0" w:space="0" w:color="auto"/>
        <w:left w:val="none" w:sz="0" w:space="0" w:color="auto"/>
        <w:bottom w:val="none" w:sz="0" w:space="0" w:color="auto"/>
        <w:right w:val="none" w:sz="0" w:space="0" w:color="auto"/>
      </w:divBdr>
    </w:div>
    <w:div w:id="1387991347">
      <w:bodyDiv w:val="1"/>
      <w:marLeft w:val="0"/>
      <w:marRight w:val="0"/>
      <w:marTop w:val="0"/>
      <w:marBottom w:val="0"/>
      <w:divBdr>
        <w:top w:val="none" w:sz="0" w:space="0" w:color="auto"/>
        <w:left w:val="none" w:sz="0" w:space="0" w:color="auto"/>
        <w:bottom w:val="none" w:sz="0" w:space="0" w:color="auto"/>
        <w:right w:val="none" w:sz="0" w:space="0" w:color="auto"/>
      </w:divBdr>
    </w:div>
    <w:div w:id="1392076898">
      <w:bodyDiv w:val="1"/>
      <w:marLeft w:val="0"/>
      <w:marRight w:val="0"/>
      <w:marTop w:val="0"/>
      <w:marBottom w:val="0"/>
      <w:divBdr>
        <w:top w:val="none" w:sz="0" w:space="0" w:color="auto"/>
        <w:left w:val="none" w:sz="0" w:space="0" w:color="auto"/>
        <w:bottom w:val="none" w:sz="0" w:space="0" w:color="auto"/>
        <w:right w:val="none" w:sz="0" w:space="0" w:color="auto"/>
      </w:divBdr>
    </w:div>
    <w:div w:id="1392193645">
      <w:bodyDiv w:val="1"/>
      <w:marLeft w:val="0"/>
      <w:marRight w:val="0"/>
      <w:marTop w:val="0"/>
      <w:marBottom w:val="0"/>
      <w:divBdr>
        <w:top w:val="none" w:sz="0" w:space="0" w:color="auto"/>
        <w:left w:val="none" w:sz="0" w:space="0" w:color="auto"/>
        <w:bottom w:val="none" w:sz="0" w:space="0" w:color="auto"/>
        <w:right w:val="none" w:sz="0" w:space="0" w:color="auto"/>
      </w:divBdr>
    </w:div>
    <w:div w:id="1401515350">
      <w:bodyDiv w:val="1"/>
      <w:marLeft w:val="0"/>
      <w:marRight w:val="0"/>
      <w:marTop w:val="0"/>
      <w:marBottom w:val="0"/>
      <w:divBdr>
        <w:top w:val="none" w:sz="0" w:space="0" w:color="auto"/>
        <w:left w:val="none" w:sz="0" w:space="0" w:color="auto"/>
        <w:bottom w:val="none" w:sz="0" w:space="0" w:color="auto"/>
        <w:right w:val="none" w:sz="0" w:space="0" w:color="auto"/>
      </w:divBdr>
    </w:div>
    <w:div w:id="1404764594">
      <w:bodyDiv w:val="1"/>
      <w:marLeft w:val="0"/>
      <w:marRight w:val="0"/>
      <w:marTop w:val="0"/>
      <w:marBottom w:val="0"/>
      <w:divBdr>
        <w:top w:val="none" w:sz="0" w:space="0" w:color="auto"/>
        <w:left w:val="none" w:sz="0" w:space="0" w:color="auto"/>
        <w:bottom w:val="none" w:sz="0" w:space="0" w:color="auto"/>
        <w:right w:val="none" w:sz="0" w:space="0" w:color="auto"/>
      </w:divBdr>
    </w:div>
    <w:div w:id="1405034475">
      <w:bodyDiv w:val="1"/>
      <w:marLeft w:val="0"/>
      <w:marRight w:val="0"/>
      <w:marTop w:val="0"/>
      <w:marBottom w:val="0"/>
      <w:divBdr>
        <w:top w:val="none" w:sz="0" w:space="0" w:color="auto"/>
        <w:left w:val="none" w:sz="0" w:space="0" w:color="auto"/>
        <w:bottom w:val="none" w:sz="0" w:space="0" w:color="auto"/>
        <w:right w:val="none" w:sz="0" w:space="0" w:color="auto"/>
      </w:divBdr>
    </w:div>
    <w:div w:id="1405106779">
      <w:bodyDiv w:val="1"/>
      <w:marLeft w:val="0"/>
      <w:marRight w:val="0"/>
      <w:marTop w:val="0"/>
      <w:marBottom w:val="0"/>
      <w:divBdr>
        <w:top w:val="none" w:sz="0" w:space="0" w:color="auto"/>
        <w:left w:val="none" w:sz="0" w:space="0" w:color="auto"/>
        <w:bottom w:val="none" w:sz="0" w:space="0" w:color="auto"/>
        <w:right w:val="none" w:sz="0" w:space="0" w:color="auto"/>
      </w:divBdr>
    </w:div>
    <w:div w:id="1415012788">
      <w:bodyDiv w:val="1"/>
      <w:marLeft w:val="0"/>
      <w:marRight w:val="0"/>
      <w:marTop w:val="0"/>
      <w:marBottom w:val="0"/>
      <w:divBdr>
        <w:top w:val="none" w:sz="0" w:space="0" w:color="auto"/>
        <w:left w:val="none" w:sz="0" w:space="0" w:color="auto"/>
        <w:bottom w:val="none" w:sz="0" w:space="0" w:color="auto"/>
        <w:right w:val="none" w:sz="0" w:space="0" w:color="auto"/>
      </w:divBdr>
    </w:div>
    <w:div w:id="1430007867">
      <w:bodyDiv w:val="1"/>
      <w:marLeft w:val="0"/>
      <w:marRight w:val="0"/>
      <w:marTop w:val="0"/>
      <w:marBottom w:val="0"/>
      <w:divBdr>
        <w:top w:val="none" w:sz="0" w:space="0" w:color="auto"/>
        <w:left w:val="none" w:sz="0" w:space="0" w:color="auto"/>
        <w:bottom w:val="none" w:sz="0" w:space="0" w:color="auto"/>
        <w:right w:val="none" w:sz="0" w:space="0" w:color="auto"/>
      </w:divBdr>
    </w:div>
    <w:div w:id="1450395402">
      <w:bodyDiv w:val="1"/>
      <w:marLeft w:val="0"/>
      <w:marRight w:val="0"/>
      <w:marTop w:val="0"/>
      <w:marBottom w:val="0"/>
      <w:divBdr>
        <w:top w:val="none" w:sz="0" w:space="0" w:color="auto"/>
        <w:left w:val="none" w:sz="0" w:space="0" w:color="auto"/>
        <w:bottom w:val="none" w:sz="0" w:space="0" w:color="auto"/>
        <w:right w:val="none" w:sz="0" w:space="0" w:color="auto"/>
      </w:divBdr>
    </w:div>
    <w:div w:id="1455559544">
      <w:bodyDiv w:val="1"/>
      <w:marLeft w:val="0"/>
      <w:marRight w:val="0"/>
      <w:marTop w:val="0"/>
      <w:marBottom w:val="0"/>
      <w:divBdr>
        <w:top w:val="none" w:sz="0" w:space="0" w:color="auto"/>
        <w:left w:val="none" w:sz="0" w:space="0" w:color="auto"/>
        <w:bottom w:val="none" w:sz="0" w:space="0" w:color="auto"/>
        <w:right w:val="none" w:sz="0" w:space="0" w:color="auto"/>
      </w:divBdr>
    </w:div>
    <w:div w:id="1466656792">
      <w:bodyDiv w:val="1"/>
      <w:marLeft w:val="0"/>
      <w:marRight w:val="0"/>
      <w:marTop w:val="0"/>
      <w:marBottom w:val="0"/>
      <w:divBdr>
        <w:top w:val="none" w:sz="0" w:space="0" w:color="auto"/>
        <w:left w:val="none" w:sz="0" w:space="0" w:color="auto"/>
        <w:bottom w:val="none" w:sz="0" w:space="0" w:color="auto"/>
        <w:right w:val="none" w:sz="0" w:space="0" w:color="auto"/>
      </w:divBdr>
    </w:div>
    <w:div w:id="1468815216">
      <w:bodyDiv w:val="1"/>
      <w:marLeft w:val="0"/>
      <w:marRight w:val="0"/>
      <w:marTop w:val="0"/>
      <w:marBottom w:val="0"/>
      <w:divBdr>
        <w:top w:val="none" w:sz="0" w:space="0" w:color="auto"/>
        <w:left w:val="none" w:sz="0" w:space="0" w:color="auto"/>
        <w:bottom w:val="none" w:sz="0" w:space="0" w:color="auto"/>
        <w:right w:val="none" w:sz="0" w:space="0" w:color="auto"/>
      </w:divBdr>
    </w:div>
    <w:div w:id="1476415036">
      <w:bodyDiv w:val="1"/>
      <w:marLeft w:val="0"/>
      <w:marRight w:val="0"/>
      <w:marTop w:val="0"/>
      <w:marBottom w:val="0"/>
      <w:divBdr>
        <w:top w:val="none" w:sz="0" w:space="0" w:color="auto"/>
        <w:left w:val="none" w:sz="0" w:space="0" w:color="auto"/>
        <w:bottom w:val="none" w:sz="0" w:space="0" w:color="auto"/>
        <w:right w:val="none" w:sz="0" w:space="0" w:color="auto"/>
      </w:divBdr>
    </w:div>
    <w:div w:id="1478571389">
      <w:bodyDiv w:val="1"/>
      <w:marLeft w:val="0"/>
      <w:marRight w:val="0"/>
      <w:marTop w:val="0"/>
      <w:marBottom w:val="0"/>
      <w:divBdr>
        <w:top w:val="none" w:sz="0" w:space="0" w:color="auto"/>
        <w:left w:val="none" w:sz="0" w:space="0" w:color="auto"/>
        <w:bottom w:val="none" w:sz="0" w:space="0" w:color="auto"/>
        <w:right w:val="none" w:sz="0" w:space="0" w:color="auto"/>
      </w:divBdr>
    </w:div>
    <w:div w:id="1486050557">
      <w:bodyDiv w:val="1"/>
      <w:marLeft w:val="0"/>
      <w:marRight w:val="0"/>
      <w:marTop w:val="0"/>
      <w:marBottom w:val="0"/>
      <w:divBdr>
        <w:top w:val="none" w:sz="0" w:space="0" w:color="auto"/>
        <w:left w:val="none" w:sz="0" w:space="0" w:color="auto"/>
        <w:bottom w:val="none" w:sz="0" w:space="0" w:color="auto"/>
        <w:right w:val="none" w:sz="0" w:space="0" w:color="auto"/>
      </w:divBdr>
    </w:div>
    <w:div w:id="1499610223">
      <w:bodyDiv w:val="1"/>
      <w:marLeft w:val="0"/>
      <w:marRight w:val="0"/>
      <w:marTop w:val="0"/>
      <w:marBottom w:val="0"/>
      <w:divBdr>
        <w:top w:val="none" w:sz="0" w:space="0" w:color="auto"/>
        <w:left w:val="none" w:sz="0" w:space="0" w:color="auto"/>
        <w:bottom w:val="none" w:sz="0" w:space="0" w:color="auto"/>
        <w:right w:val="none" w:sz="0" w:space="0" w:color="auto"/>
      </w:divBdr>
    </w:div>
    <w:div w:id="1508783596">
      <w:bodyDiv w:val="1"/>
      <w:marLeft w:val="0"/>
      <w:marRight w:val="0"/>
      <w:marTop w:val="0"/>
      <w:marBottom w:val="0"/>
      <w:divBdr>
        <w:top w:val="none" w:sz="0" w:space="0" w:color="auto"/>
        <w:left w:val="none" w:sz="0" w:space="0" w:color="auto"/>
        <w:bottom w:val="none" w:sz="0" w:space="0" w:color="auto"/>
        <w:right w:val="none" w:sz="0" w:space="0" w:color="auto"/>
      </w:divBdr>
    </w:div>
    <w:div w:id="1511946426">
      <w:bodyDiv w:val="1"/>
      <w:marLeft w:val="0"/>
      <w:marRight w:val="0"/>
      <w:marTop w:val="0"/>
      <w:marBottom w:val="0"/>
      <w:divBdr>
        <w:top w:val="none" w:sz="0" w:space="0" w:color="auto"/>
        <w:left w:val="none" w:sz="0" w:space="0" w:color="auto"/>
        <w:bottom w:val="none" w:sz="0" w:space="0" w:color="auto"/>
        <w:right w:val="none" w:sz="0" w:space="0" w:color="auto"/>
      </w:divBdr>
    </w:div>
    <w:div w:id="1518807274">
      <w:bodyDiv w:val="1"/>
      <w:marLeft w:val="0"/>
      <w:marRight w:val="0"/>
      <w:marTop w:val="0"/>
      <w:marBottom w:val="0"/>
      <w:divBdr>
        <w:top w:val="none" w:sz="0" w:space="0" w:color="auto"/>
        <w:left w:val="none" w:sz="0" w:space="0" w:color="auto"/>
        <w:bottom w:val="none" w:sz="0" w:space="0" w:color="auto"/>
        <w:right w:val="none" w:sz="0" w:space="0" w:color="auto"/>
      </w:divBdr>
    </w:div>
    <w:div w:id="1521356601">
      <w:bodyDiv w:val="1"/>
      <w:marLeft w:val="0"/>
      <w:marRight w:val="0"/>
      <w:marTop w:val="0"/>
      <w:marBottom w:val="0"/>
      <w:divBdr>
        <w:top w:val="none" w:sz="0" w:space="0" w:color="auto"/>
        <w:left w:val="none" w:sz="0" w:space="0" w:color="auto"/>
        <w:bottom w:val="none" w:sz="0" w:space="0" w:color="auto"/>
        <w:right w:val="none" w:sz="0" w:space="0" w:color="auto"/>
      </w:divBdr>
    </w:div>
    <w:div w:id="1522671703">
      <w:bodyDiv w:val="1"/>
      <w:marLeft w:val="0"/>
      <w:marRight w:val="0"/>
      <w:marTop w:val="0"/>
      <w:marBottom w:val="0"/>
      <w:divBdr>
        <w:top w:val="none" w:sz="0" w:space="0" w:color="auto"/>
        <w:left w:val="none" w:sz="0" w:space="0" w:color="auto"/>
        <w:bottom w:val="none" w:sz="0" w:space="0" w:color="auto"/>
        <w:right w:val="none" w:sz="0" w:space="0" w:color="auto"/>
      </w:divBdr>
    </w:div>
    <w:div w:id="1526749577">
      <w:bodyDiv w:val="1"/>
      <w:marLeft w:val="0"/>
      <w:marRight w:val="0"/>
      <w:marTop w:val="0"/>
      <w:marBottom w:val="0"/>
      <w:divBdr>
        <w:top w:val="none" w:sz="0" w:space="0" w:color="auto"/>
        <w:left w:val="none" w:sz="0" w:space="0" w:color="auto"/>
        <w:bottom w:val="none" w:sz="0" w:space="0" w:color="auto"/>
        <w:right w:val="none" w:sz="0" w:space="0" w:color="auto"/>
      </w:divBdr>
    </w:div>
    <w:div w:id="1531449446">
      <w:bodyDiv w:val="1"/>
      <w:marLeft w:val="0"/>
      <w:marRight w:val="0"/>
      <w:marTop w:val="0"/>
      <w:marBottom w:val="0"/>
      <w:divBdr>
        <w:top w:val="none" w:sz="0" w:space="0" w:color="auto"/>
        <w:left w:val="none" w:sz="0" w:space="0" w:color="auto"/>
        <w:bottom w:val="none" w:sz="0" w:space="0" w:color="auto"/>
        <w:right w:val="none" w:sz="0" w:space="0" w:color="auto"/>
      </w:divBdr>
    </w:div>
    <w:div w:id="1536430211">
      <w:bodyDiv w:val="1"/>
      <w:marLeft w:val="0"/>
      <w:marRight w:val="0"/>
      <w:marTop w:val="0"/>
      <w:marBottom w:val="0"/>
      <w:divBdr>
        <w:top w:val="none" w:sz="0" w:space="0" w:color="auto"/>
        <w:left w:val="none" w:sz="0" w:space="0" w:color="auto"/>
        <w:bottom w:val="none" w:sz="0" w:space="0" w:color="auto"/>
        <w:right w:val="none" w:sz="0" w:space="0" w:color="auto"/>
      </w:divBdr>
    </w:div>
    <w:div w:id="1540168174">
      <w:bodyDiv w:val="1"/>
      <w:marLeft w:val="0"/>
      <w:marRight w:val="0"/>
      <w:marTop w:val="0"/>
      <w:marBottom w:val="0"/>
      <w:divBdr>
        <w:top w:val="none" w:sz="0" w:space="0" w:color="auto"/>
        <w:left w:val="none" w:sz="0" w:space="0" w:color="auto"/>
        <w:bottom w:val="none" w:sz="0" w:space="0" w:color="auto"/>
        <w:right w:val="none" w:sz="0" w:space="0" w:color="auto"/>
      </w:divBdr>
    </w:div>
    <w:div w:id="1542396722">
      <w:bodyDiv w:val="1"/>
      <w:marLeft w:val="0"/>
      <w:marRight w:val="0"/>
      <w:marTop w:val="0"/>
      <w:marBottom w:val="0"/>
      <w:divBdr>
        <w:top w:val="none" w:sz="0" w:space="0" w:color="auto"/>
        <w:left w:val="none" w:sz="0" w:space="0" w:color="auto"/>
        <w:bottom w:val="none" w:sz="0" w:space="0" w:color="auto"/>
        <w:right w:val="none" w:sz="0" w:space="0" w:color="auto"/>
      </w:divBdr>
    </w:div>
    <w:div w:id="1551922662">
      <w:bodyDiv w:val="1"/>
      <w:marLeft w:val="0"/>
      <w:marRight w:val="0"/>
      <w:marTop w:val="0"/>
      <w:marBottom w:val="0"/>
      <w:divBdr>
        <w:top w:val="none" w:sz="0" w:space="0" w:color="auto"/>
        <w:left w:val="none" w:sz="0" w:space="0" w:color="auto"/>
        <w:bottom w:val="none" w:sz="0" w:space="0" w:color="auto"/>
        <w:right w:val="none" w:sz="0" w:space="0" w:color="auto"/>
      </w:divBdr>
    </w:div>
    <w:div w:id="1552838295">
      <w:bodyDiv w:val="1"/>
      <w:marLeft w:val="0"/>
      <w:marRight w:val="0"/>
      <w:marTop w:val="0"/>
      <w:marBottom w:val="0"/>
      <w:divBdr>
        <w:top w:val="none" w:sz="0" w:space="0" w:color="auto"/>
        <w:left w:val="none" w:sz="0" w:space="0" w:color="auto"/>
        <w:bottom w:val="none" w:sz="0" w:space="0" w:color="auto"/>
        <w:right w:val="none" w:sz="0" w:space="0" w:color="auto"/>
      </w:divBdr>
    </w:div>
    <w:div w:id="1558585292">
      <w:bodyDiv w:val="1"/>
      <w:marLeft w:val="0"/>
      <w:marRight w:val="0"/>
      <w:marTop w:val="0"/>
      <w:marBottom w:val="0"/>
      <w:divBdr>
        <w:top w:val="none" w:sz="0" w:space="0" w:color="auto"/>
        <w:left w:val="none" w:sz="0" w:space="0" w:color="auto"/>
        <w:bottom w:val="none" w:sz="0" w:space="0" w:color="auto"/>
        <w:right w:val="none" w:sz="0" w:space="0" w:color="auto"/>
      </w:divBdr>
    </w:div>
    <w:div w:id="1569341041">
      <w:bodyDiv w:val="1"/>
      <w:marLeft w:val="0"/>
      <w:marRight w:val="0"/>
      <w:marTop w:val="0"/>
      <w:marBottom w:val="0"/>
      <w:divBdr>
        <w:top w:val="none" w:sz="0" w:space="0" w:color="auto"/>
        <w:left w:val="none" w:sz="0" w:space="0" w:color="auto"/>
        <w:bottom w:val="none" w:sz="0" w:space="0" w:color="auto"/>
        <w:right w:val="none" w:sz="0" w:space="0" w:color="auto"/>
      </w:divBdr>
    </w:div>
    <w:div w:id="1588155835">
      <w:bodyDiv w:val="1"/>
      <w:marLeft w:val="0"/>
      <w:marRight w:val="0"/>
      <w:marTop w:val="0"/>
      <w:marBottom w:val="0"/>
      <w:divBdr>
        <w:top w:val="none" w:sz="0" w:space="0" w:color="auto"/>
        <w:left w:val="none" w:sz="0" w:space="0" w:color="auto"/>
        <w:bottom w:val="none" w:sz="0" w:space="0" w:color="auto"/>
        <w:right w:val="none" w:sz="0" w:space="0" w:color="auto"/>
      </w:divBdr>
    </w:div>
    <w:div w:id="1597589122">
      <w:bodyDiv w:val="1"/>
      <w:marLeft w:val="0"/>
      <w:marRight w:val="0"/>
      <w:marTop w:val="0"/>
      <w:marBottom w:val="0"/>
      <w:divBdr>
        <w:top w:val="none" w:sz="0" w:space="0" w:color="auto"/>
        <w:left w:val="none" w:sz="0" w:space="0" w:color="auto"/>
        <w:bottom w:val="none" w:sz="0" w:space="0" w:color="auto"/>
        <w:right w:val="none" w:sz="0" w:space="0" w:color="auto"/>
      </w:divBdr>
    </w:div>
    <w:div w:id="1602883030">
      <w:bodyDiv w:val="1"/>
      <w:marLeft w:val="0"/>
      <w:marRight w:val="0"/>
      <w:marTop w:val="0"/>
      <w:marBottom w:val="0"/>
      <w:divBdr>
        <w:top w:val="none" w:sz="0" w:space="0" w:color="auto"/>
        <w:left w:val="none" w:sz="0" w:space="0" w:color="auto"/>
        <w:bottom w:val="none" w:sz="0" w:space="0" w:color="auto"/>
        <w:right w:val="none" w:sz="0" w:space="0" w:color="auto"/>
      </w:divBdr>
    </w:div>
    <w:div w:id="1607075194">
      <w:bodyDiv w:val="1"/>
      <w:marLeft w:val="0"/>
      <w:marRight w:val="0"/>
      <w:marTop w:val="0"/>
      <w:marBottom w:val="0"/>
      <w:divBdr>
        <w:top w:val="none" w:sz="0" w:space="0" w:color="auto"/>
        <w:left w:val="none" w:sz="0" w:space="0" w:color="auto"/>
        <w:bottom w:val="none" w:sz="0" w:space="0" w:color="auto"/>
        <w:right w:val="none" w:sz="0" w:space="0" w:color="auto"/>
      </w:divBdr>
    </w:div>
    <w:div w:id="1618902361">
      <w:bodyDiv w:val="1"/>
      <w:marLeft w:val="0"/>
      <w:marRight w:val="0"/>
      <w:marTop w:val="0"/>
      <w:marBottom w:val="0"/>
      <w:divBdr>
        <w:top w:val="none" w:sz="0" w:space="0" w:color="auto"/>
        <w:left w:val="none" w:sz="0" w:space="0" w:color="auto"/>
        <w:bottom w:val="none" w:sz="0" w:space="0" w:color="auto"/>
        <w:right w:val="none" w:sz="0" w:space="0" w:color="auto"/>
      </w:divBdr>
    </w:div>
    <w:div w:id="1623463796">
      <w:bodyDiv w:val="1"/>
      <w:marLeft w:val="0"/>
      <w:marRight w:val="0"/>
      <w:marTop w:val="0"/>
      <w:marBottom w:val="0"/>
      <w:divBdr>
        <w:top w:val="none" w:sz="0" w:space="0" w:color="auto"/>
        <w:left w:val="none" w:sz="0" w:space="0" w:color="auto"/>
        <w:bottom w:val="none" w:sz="0" w:space="0" w:color="auto"/>
        <w:right w:val="none" w:sz="0" w:space="0" w:color="auto"/>
      </w:divBdr>
    </w:div>
    <w:div w:id="1631745898">
      <w:bodyDiv w:val="1"/>
      <w:marLeft w:val="0"/>
      <w:marRight w:val="0"/>
      <w:marTop w:val="0"/>
      <w:marBottom w:val="0"/>
      <w:divBdr>
        <w:top w:val="none" w:sz="0" w:space="0" w:color="auto"/>
        <w:left w:val="none" w:sz="0" w:space="0" w:color="auto"/>
        <w:bottom w:val="none" w:sz="0" w:space="0" w:color="auto"/>
        <w:right w:val="none" w:sz="0" w:space="0" w:color="auto"/>
      </w:divBdr>
    </w:div>
    <w:div w:id="1633749117">
      <w:bodyDiv w:val="1"/>
      <w:marLeft w:val="0"/>
      <w:marRight w:val="0"/>
      <w:marTop w:val="0"/>
      <w:marBottom w:val="0"/>
      <w:divBdr>
        <w:top w:val="none" w:sz="0" w:space="0" w:color="auto"/>
        <w:left w:val="none" w:sz="0" w:space="0" w:color="auto"/>
        <w:bottom w:val="none" w:sz="0" w:space="0" w:color="auto"/>
        <w:right w:val="none" w:sz="0" w:space="0" w:color="auto"/>
      </w:divBdr>
    </w:div>
    <w:div w:id="1642274279">
      <w:bodyDiv w:val="1"/>
      <w:marLeft w:val="0"/>
      <w:marRight w:val="0"/>
      <w:marTop w:val="0"/>
      <w:marBottom w:val="0"/>
      <w:divBdr>
        <w:top w:val="none" w:sz="0" w:space="0" w:color="auto"/>
        <w:left w:val="none" w:sz="0" w:space="0" w:color="auto"/>
        <w:bottom w:val="none" w:sz="0" w:space="0" w:color="auto"/>
        <w:right w:val="none" w:sz="0" w:space="0" w:color="auto"/>
      </w:divBdr>
    </w:div>
    <w:div w:id="1646815464">
      <w:bodyDiv w:val="1"/>
      <w:marLeft w:val="0"/>
      <w:marRight w:val="0"/>
      <w:marTop w:val="0"/>
      <w:marBottom w:val="0"/>
      <w:divBdr>
        <w:top w:val="none" w:sz="0" w:space="0" w:color="auto"/>
        <w:left w:val="none" w:sz="0" w:space="0" w:color="auto"/>
        <w:bottom w:val="none" w:sz="0" w:space="0" w:color="auto"/>
        <w:right w:val="none" w:sz="0" w:space="0" w:color="auto"/>
      </w:divBdr>
    </w:div>
    <w:div w:id="1657566843">
      <w:bodyDiv w:val="1"/>
      <w:marLeft w:val="0"/>
      <w:marRight w:val="0"/>
      <w:marTop w:val="0"/>
      <w:marBottom w:val="0"/>
      <w:divBdr>
        <w:top w:val="none" w:sz="0" w:space="0" w:color="auto"/>
        <w:left w:val="none" w:sz="0" w:space="0" w:color="auto"/>
        <w:bottom w:val="none" w:sz="0" w:space="0" w:color="auto"/>
        <w:right w:val="none" w:sz="0" w:space="0" w:color="auto"/>
      </w:divBdr>
    </w:div>
    <w:div w:id="1660766722">
      <w:bodyDiv w:val="1"/>
      <w:marLeft w:val="0"/>
      <w:marRight w:val="0"/>
      <w:marTop w:val="0"/>
      <w:marBottom w:val="0"/>
      <w:divBdr>
        <w:top w:val="none" w:sz="0" w:space="0" w:color="auto"/>
        <w:left w:val="none" w:sz="0" w:space="0" w:color="auto"/>
        <w:bottom w:val="none" w:sz="0" w:space="0" w:color="auto"/>
        <w:right w:val="none" w:sz="0" w:space="0" w:color="auto"/>
      </w:divBdr>
    </w:div>
    <w:div w:id="1662544388">
      <w:bodyDiv w:val="1"/>
      <w:marLeft w:val="0"/>
      <w:marRight w:val="0"/>
      <w:marTop w:val="0"/>
      <w:marBottom w:val="0"/>
      <w:divBdr>
        <w:top w:val="none" w:sz="0" w:space="0" w:color="auto"/>
        <w:left w:val="none" w:sz="0" w:space="0" w:color="auto"/>
        <w:bottom w:val="none" w:sz="0" w:space="0" w:color="auto"/>
        <w:right w:val="none" w:sz="0" w:space="0" w:color="auto"/>
      </w:divBdr>
    </w:div>
    <w:div w:id="1688095712">
      <w:bodyDiv w:val="1"/>
      <w:marLeft w:val="0"/>
      <w:marRight w:val="0"/>
      <w:marTop w:val="0"/>
      <w:marBottom w:val="0"/>
      <w:divBdr>
        <w:top w:val="none" w:sz="0" w:space="0" w:color="auto"/>
        <w:left w:val="none" w:sz="0" w:space="0" w:color="auto"/>
        <w:bottom w:val="none" w:sz="0" w:space="0" w:color="auto"/>
        <w:right w:val="none" w:sz="0" w:space="0" w:color="auto"/>
      </w:divBdr>
    </w:div>
    <w:div w:id="1708992493">
      <w:bodyDiv w:val="1"/>
      <w:marLeft w:val="0"/>
      <w:marRight w:val="0"/>
      <w:marTop w:val="0"/>
      <w:marBottom w:val="0"/>
      <w:divBdr>
        <w:top w:val="none" w:sz="0" w:space="0" w:color="auto"/>
        <w:left w:val="none" w:sz="0" w:space="0" w:color="auto"/>
        <w:bottom w:val="none" w:sz="0" w:space="0" w:color="auto"/>
        <w:right w:val="none" w:sz="0" w:space="0" w:color="auto"/>
      </w:divBdr>
    </w:div>
    <w:div w:id="1709599296">
      <w:bodyDiv w:val="1"/>
      <w:marLeft w:val="0"/>
      <w:marRight w:val="0"/>
      <w:marTop w:val="0"/>
      <w:marBottom w:val="0"/>
      <w:divBdr>
        <w:top w:val="none" w:sz="0" w:space="0" w:color="auto"/>
        <w:left w:val="none" w:sz="0" w:space="0" w:color="auto"/>
        <w:bottom w:val="none" w:sz="0" w:space="0" w:color="auto"/>
        <w:right w:val="none" w:sz="0" w:space="0" w:color="auto"/>
      </w:divBdr>
    </w:div>
    <w:div w:id="1713265491">
      <w:bodyDiv w:val="1"/>
      <w:marLeft w:val="0"/>
      <w:marRight w:val="0"/>
      <w:marTop w:val="0"/>
      <w:marBottom w:val="0"/>
      <w:divBdr>
        <w:top w:val="none" w:sz="0" w:space="0" w:color="auto"/>
        <w:left w:val="none" w:sz="0" w:space="0" w:color="auto"/>
        <w:bottom w:val="none" w:sz="0" w:space="0" w:color="auto"/>
        <w:right w:val="none" w:sz="0" w:space="0" w:color="auto"/>
      </w:divBdr>
    </w:div>
    <w:div w:id="1713308771">
      <w:bodyDiv w:val="1"/>
      <w:marLeft w:val="0"/>
      <w:marRight w:val="0"/>
      <w:marTop w:val="0"/>
      <w:marBottom w:val="0"/>
      <w:divBdr>
        <w:top w:val="none" w:sz="0" w:space="0" w:color="auto"/>
        <w:left w:val="none" w:sz="0" w:space="0" w:color="auto"/>
        <w:bottom w:val="none" w:sz="0" w:space="0" w:color="auto"/>
        <w:right w:val="none" w:sz="0" w:space="0" w:color="auto"/>
      </w:divBdr>
    </w:div>
    <w:div w:id="1722316628">
      <w:bodyDiv w:val="1"/>
      <w:marLeft w:val="0"/>
      <w:marRight w:val="0"/>
      <w:marTop w:val="0"/>
      <w:marBottom w:val="0"/>
      <w:divBdr>
        <w:top w:val="none" w:sz="0" w:space="0" w:color="auto"/>
        <w:left w:val="none" w:sz="0" w:space="0" w:color="auto"/>
        <w:bottom w:val="none" w:sz="0" w:space="0" w:color="auto"/>
        <w:right w:val="none" w:sz="0" w:space="0" w:color="auto"/>
      </w:divBdr>
    </w:div>
    <w:div w:id="1737167281">
      <w:bodyDiv w:val="1"/>
      <w:marLeft w:val="0"/>
      <w:marRight w:val="0"/>
      <w:marTop w:val="0"/>
      <w:marBottom w:val="0"/>
      <w:divBdr>
        <w:top w:val="none" w:sz="0" w:space="0" w:color="auto"/>
        <w:left w:val="none" w:sz="0" w:space="0" w:color="auto"/>
        <w:bottom w:val="none" w:sz="0" w:space="0" w:color="auto"/>
        <w:right w:val="none" w:sz="0" w:space="0" w:color="auto"/>
      </w:divBdr>
    </w:div>
    <w:div w:id="1743865758">
      <w:bodyDiv w:val="1"/>
      <w:marLeft w:val="0"/>
      <w:marRight w:val="0"/>
      <w:marTop w:val="0"/>
      <w:marBottom w:val="0"/>
      <w:divBdr>
        <w:top w:val="none" w:sz="0" w:space="0" w:color="auto"/>
        <w:left w:val="none" w:sz="0" w:space="0" w:color="auto"/>
        <w:bottom w:val="none" w:sz="0" w:space="0" w:color="auto"/>
        <w:right w:val="none" w:sz="0" w:space="0" w:color="auto"/>
      </w:divBdr>
    </w:div>
    <w:div w:id="1750349351">
      <w:bodyDiv w:val="1"/>
      <w:marLeft w:val="0"/>
      <w:marRight w:val="0"/>
      <w:marTop w:val="0"/>
      <w:marBottom w:val="0"/>
      <w:divBdr>
        <w:top w:val="none" w:sz="0" w:space="0" w:color="auto"/>
        <w:left w:val="none" w:sz="0" w:space="0" w:color="auto"/>
        <w:bottom w:val="none" w:sz="0" w:space="0" w:color="auto"/>
        <w:right w:val="none" w:sz="0" w:space="0" w:color="auto"/>
      </w:divBdr>
    </w:div>
    <w:div w:id="1768303004">
      <w:bodyDiv w:val="1"/>
      <w:marLeft w:val="0"/>
      <w:marRight w:val="0"/>
      <w:marTop w:val="0"/>
      <w:marBottom w:val="0"/>
      <w:divBdr>
        <w:top w:val="none" w:sz="0" w:space="0" w:color="auto"/>
        <w:left w:val="none" w:sz="0" w:space="0" w:color="auto"/>
        <w:bottom w:val="none" w:sz="0" w:space="0" w:color="auto"/>
        <w:right w:val="none" w:sz="0" w:space="0" w:color="auto"/>
      </w:divBdr>
    </w:div>
    <w:div w:id="1777483039">
      <w:bodyDiv w:val="1"/>
      <w:marLeft w:val="0"/>
      <w:marRight w:val="0"/>
      <w:marTop w:val="0"/>
      <w:marBottom w:val="0"/>
      <w:divBdr>
        <w:top w:val="none" w:sz="0" w:space="0" w:color="auto"/>
        <w:left w:val="none" w:sz="0" w:space="0" w:color="auto"/>
        <w:bottom w:val="none" w:sz="0" w:space="0" w:color="auto"/>
        <w:right w:val="none" w:sz="0" w:space="0" w:color="auto"/>
      </w:divBdr>
    </w:div>
    <w:div w:id="1779913344">
      <w:bodyDiv w:val="1"/>
      <w:marLeft w:val="0"/>
      <w:marRight w:val="0"/>
      <w:marTop w:val="0"/>
      <w:marBottom w:val="0"/>
      <w:divBdr>
        <w:top w:val="none" w:sz="0" w:space="0" w:color="auto"/>
        <w:left w:val="none" w:sz="0" w:space="0" w:color="auto"/>
        <w:bottom w:val="none" w:sz="0" w:space="0" w:color="auto"/>
        <w:right w:val="none" w:sz="0" w:space="0" w:color="auto"/>
      </w:divBdr>
    </w:div>
    <w:div w:id="1785614877">
      <w:bodyDiv w:val="1"/>
      <w:marLeft w:val="0"/>
      <w:marRight w:val="0"/>
      <w:marTop w:val="0"/>
      <w:marBottom w:val="0"/>
      <w:divBdr>
        <w:top w:val="none" w:sz="0" w:space="0" w:color="auto"/>
        <w:left w:val="none" w:sz="0" w:space="0" w:color="auto"/>
        <w:bottom w:val="none" w:sz="0" w:space="0" w:color="auto"/>
        <w:right w:val="none" w:sz="0" w:space="0" w:color="auto"/>
      </w:divBdr>
    </w:div>
    <w:div w:id="1786537879">
      <w:bodyDiv w:val="1"/>
      <w:marLeft w:val="0"/>
      <w:marRight w:val="0"/>
      <w:marTop w:val="0"/>
      <w:marBottom w:val="0"/>
      <w:divBdr>
        <w:top w:val="none" w:sz="0" w:space="0" w:color="auto"/>
        <w:left w:val="none" w:sz="0" w:space="0" w:color="auto"/>
        <w:bottom w:val="none" w:sz="0" w:space="0" w:color="auto"/>
        <w:right w:val="none" w:sz="0" w:space="0" w:color="auto"/>
      </w:divBdr>
    </w:div>
    <w:div w:id="1786776168">
      <w:bodyDiv w:val="1"/>
      <w:marLeft w:val="0"/>
      <w:marRight w:val="0"/>
      <w:marTop w:val="0"/>
      <w:marBottom w:val="0"/>
      <w:divBdr>
        <w:top w:val="none" w:sz="0" w:space="0" w:color="auto"/>
        <w:left w:val="none" w:sz="0" w:space="0" w:color="auto"/>
        <w:bottom w:val="none" w:sz="0" w:space="0" w:color="auto"/>
        <w:right w:val="none" w:sz="0" w:space="0" w:color="auto"/>
      </w:divBdr>
    </w:div>
    <w:div w:id="1798602373">
      <w:bodyDiv w:val="1"/>
      <w:marLeft w:val="0"/>
      <w:marRight w:val="0"/>
      <w:marTop w:val="0"/>
      <w:marBottom w:val="0"/>
      <w:divBdr>
        <w:top w:val="none" w:sz="0" w:space="0" w:color="auto"/>
        <w:left w:val="none" w:sz="0" w:space="0" w:color="auto"/>
        <w:bottom w:val="none" w:sz="0" w:space="0" w:color="auto"/>
        <w:right w:val="none" w:sz="0" w:space="0" w:color="auto"/>
      </w:divBdr>
    </w:div>
    <w:div w:id="1800299526">
      <w:bodyDiv w:val="1"/>
      <w:marLeft w:val="0"/>
      <w:marRight w:val="0"/>
      <w:marTop w:val="0"/>
      <w:marBottom w:val="0"/>
      <w:divBdr>
        <w:top w:val="none" w:sz="0" w:space="0" w:color="auto"/>
        <w:left w:val="none" w:sz="0" w:space="0" w:color="auto"/>
        <w:bottom w:val="none" w:sz="0" w:space="0" w:color="auto"/>
        <w:right w:val="none" w:sz="0" w:space="0" w:color="auto"/>
      </w:divBdr>
    </w:div>
    <w:div w:id="1804037482">
      <w:bodyDiv w:val="1"/>
      <w:marLeft w:val="0"/>
      <w:marRight w:val="0"/>
      <w:marTop w:val="0"/>
      <w:marBottom w:val="0"/>
      <w:divBdr>
        <w:top w:val="none" w:sz="0" w:space="0" w:color="auto"/>
        <w:left w:val="none" w:sz="0" w:space="0" w:color="auto"/>
        <w:bottom w:val="none" w:sz="0" w:space="0" w:color="auto"/>
        <w:right w:val="none" w:sz="0" w:space="0" w:color="auto"/>
      </w:divBdr>
    </w:div>
    <w:div w:id="1812747357">
      <w:bodyDiv w:val="1"/>
      <w:marLeft w:val="0"/>
      <w:marRight w:val="0"/>
      <w:marTop w:val="0"/>
      <w:marBottom w:val="0"/>
      <w:divBdr>
        <w:top w:val="none" w:sz="0" w:space="0" w:color="auto"/>
        <w:left w:val="none" w:sz="0" w:space="0" w:color="auto"/>
        <w:bottom w:val="none" w:sz="0" w:space="0" w:color="auto"/>
        <w:right w:val="none" w:sz="0" w:space="0" w:color="auto"/>
      </w:divBdr>
    </w:div>
    <w:div w:id="1813909423">
      <w:bodyDiv w:val="1"/>
      <w:marLeft w:val="0"/>
      <w:marRight w:val="0"/>
      <w:marTop w:val="0"/>
      <w:marBottom w:val="0"/>
      <w:divBdr>
        <w:top w:val="none" w:sz="0" w:space="0" w:color="auto"/>
        <w:left w:val="none" w:sz="0" w:space="0" w:color="auto"/>
        <w:bottom w:val="none" w:sz="0" w:space="0" w:color="auto"/>
        <w:right w:val="none" w:sz="0" w:space="0" w:color="auto"/>
      </w:divBdr>
    </w:div>
    <w:div w:id="1822622466">
      <w:bodyDiv w:val="1"/>
      <w:marLeft w:val="0"/>
      <w:marRight w:val="0"/>
      <w:marTop w:val="0"/>
      <w:marBottom w:val="0"/>
      <w:divBdr>
        <w:top w:val="none" w:sz="0" w:space="0" w:color="auto"/>
        <w:left w:val="none" w:sz="0" w:space="0" w:color="auto"/>
        <w:bottom w:val="none" w:sz="0" w:space="0" w:color="auto"/>
        <w:right w:val="none" w:sz="0" w:space="0" w:color="auto"/>
      </w:divBdr>
    </w:div>
    <w:div w:id="1822846363">
      <w:bodyDiv w:val="1"/>
      <w:marLeft w:val="0"/>
      <w:marRight w:val="0"/>
      <w:marTop w:val="0"/>
      <w:marBottom w:val="0"/>
      <w:divBdr>
        <w:top w:val="none" w:sz="0" w:space="0" w:color="auto"/>
        <w:left w:val="none" w:sz="0" w:space="0" w:color="auto"/>
        <w:bottom w:val="none" w:sz="0" w:space="0" w:color="auto"/>
        <w:right w:val="none" w:sz="0" w:space="0" w:color="auto"/>
      </w:divBdr>
    </w:div>
    <w:div w:id="1832066399">
      <w:bodyDiv w:val="1"/>
      <w:marLeft w:val="0"/>
      <w:marRight w:val="0"/>
      <w:marTop w:val="0"/>
      <w:marBottom w:val="0"/>
      <w:divBdr>
        <w:top w:val="none" w:sz="0" w:space="0" w:color="auto"/>
        <w:left w:val="none" w:sz="0" w:space="0" w:color="auto"/>
        <w:bottom w:val="none" w:sz="0" w:space="0" w:color="auto"/>
        <w:right w:val="none" w:sz="0" w:space="0" w:color="auto"/>
      </w:divBdr>
    </w:div>
    <w:div w:id="1854224141">
      <w:bodyDiv w:val="1"/>
      <w:marLeft w:val="0"/>
      <w:marRight w:val="0"/>
      <w:marTop w:val="0"/>
      <w:marBottom w:val="0"/>
      <w:divBdr>
        <w:top w:val="none" w:sz="0" w:space="0" w:color="auto"/>
        <w:left w:val="none" w:sz="0" w:space="0" w:color="auto"/>
        <w:bottom w:val="none" w:sz="0" w:space="0" w:color="auto"/>
        <w:right w:val="none" w:sz="0" w:space="0" w:color="auto"/>
      </w:divBdr>
    </w:div>
    <w:div w:id="1854879878">
      <w:bodyDiv w:val="1"/>
      <w:marLeft w:val="0"/>
      <w:marRight w:val="0"/>
      <w:marTop w:val="0"/>
      <w:marBottom w:val="0"/>
      <w:divBdr>
        <w:top w:val="none" w:sz="0" w:space="0" w:color="auto"/>
        <w:left w:val="none" w:sz="0" w:space="0" w:color="auto"/>
        <w:bottom w:val="none" w:sz="0" w:space="0" w:color="auto"/>
        <w:right w:val="none" w:sz="0" w:space="0" w:color="auto"/>
      </w:divBdr>
    </w:div>
    <w:div w:id="1869758723">
      <w:bodyDiv w:val="1"/>
      <w:marLeft w:val="0"/>
      <w:marRight w:val="0"/>
      <w:marTop w:val="0"/>
      <w:marBottom w:val="0"/>
      <w:divBdr>
        <w:top w:val="none" w:sz="0" w:space="0" w:color="auto"/>
        <w:left w:val="none" w:sz="0" w:space="0" w:color="auto"/>
        <w:bottom w:val="none" w:sz="0" w:space="0" w:color="auto"/>
        <w:right w:val="none" w:sz="0" w:space="0" w:color="auto"/>
      </w:divBdr>
    </w:div>
    <w:div w:id="1870298362">
      <w:bodyDiv w:val="1"/>
      <w:marLeft w:val="0"/>
      <w:marRight w:val="0"/>
      <w:marTop w:val="0"/>
      <w:marBottom w:val="0"/>
      <w:divBdr>
        <w:top w:val="none" w:sz="0" w:space="0" w:color="auto"/>
        <w:left w:val="none" w:sz="0" w:space="0" w:color="auto"/>
        <w:bottom w:val="none" w:sz="0" w:space="0" w:color="auto"/>
        <w:right w:val="none" w:sz="0" w:space="0" w:color="auto"/>
      </w:divBdr>
    </w:div>
    <w:div w:id="1879929967">
      <w:bodyDiv w:val="1"/>
      <w:marLeft w:val="0"/>
      <w:marRight w:val="0"/>
      <w:marTop w:val="0"/>
      <w:marBottom w:val="0"/>
      <w:divBdr>
        <w:top w:val="none" w:sz="0" w:space="0" w:color="auto"/>
        <w:left w:val="none" w:sz="0" w:space="0" w:color="auto"/>
        <w:bottom w:val="none" w:sz="0" w:space="0" w:color="auto"/>
        <w:right w:val="none" w:sz="0" w:space="0" w:color="auto"/>
      </w:divBdr>
    </w:div>
    <w:div w:id="1891527320">
      <w:bodyDiv w:val="1"/>
      <w:marLeft w:val="0"/>
      <w:marRight w:val="0"/>
      <w:marTop w:val="0"/>
      <w:marBottom w:val="0"/>
      <w:divBdr>
        <w:top w:val="none" w:sz="0" w:space="0" w:color="auto"/>
        <w:left w:val="none" w:sz="0" w:space="0" w:color="auto"/>
        <w:bottom w:val="none" w:sz="0" w:space="0" w:color="auto"/>
        <w:right w:val="none" w:sz="0" w:space="0" w:color="auto"/>
      </w:divBdr>
    </w:div>
    <w:div w:id="1892379933">
      <w:bodyDiv w:val="1"/>
      <w:marLeft w:val="0"/>
      <w:marRight w:val="0"/>
      <w:marTop w:val="0"/>
      <w:marBottom w:val="0"/>
      <w:divBdr>
        <w:top w:val="none" w:sz="0" w:space="0" w:color="auto"/>
        <w:left w:val="none" w:sz="0" w:space="0" w:color="auto"/>
        <w:bottom w:val="none" w:sz="0" w:space="0" w:color="auto"/>
        <w:right w:val="none" w:sz="0" w:space="0" w:color="auto"/>
      </w:divBdr>
    </w:div>
    <w:div w:id="1894461904">
      <w:bodyDiv w:val="1"/>
      <w:marLeft w:val="0"/>
      <w:marRight w:val="0"/>
      <w:marTop w:val="0"/>
      <w:marBottom w:val="0"/>
      <w:divBdr>
        <w:top w:val="none" w:sz="0" w:space="0" w:color="auto"/>
        <w:left w:val="none" w:sz="0" w:space="0" w:color="auto"/>
        <w:bottom w:val="none" w:sz="0" w:space="0" w:color="auto"/>
        <w:right w:val="none" w:sz="0" w:space="0" w:color="auto"/>
      </w:divBdr>
    </w:div>
    <w:div w:id="1895656197">
      <w:bodyDiv w:val="1"/>
      <w:marLeft w:val="0"/>
      <w:marRight w:val="0"/>
      <w:marTop w:val="0"/>
      <w:marBottom w:val="0"/>
      <w:divBdr>
        <w:top w:val="none" w:sz="0" w:space="0" w:color="auto"/>
        <w:left w:val="none" w:sz="0" w:space="0" w:color="auto"/>
        <w:bottom w:val="none" w:sz="0" w:space="0" w:color="auto"/>
        <w:right w:val="none" w:sz="0" w:space="0" w:color="auto"/>
      </w:divBdr>
    </w:div>
    <w:div w:id="1899323559">
      <w:bodyDiv w:val="1"/>
      <w:marLeft w:val="0"/>
      <w:marRight w:val="0"/>
      <w:marTop w:val="0"/>
      <w:marBottom w:val="0"/>
      <w:divBdr>
        <w:top w:val="none" w:sz="0" w:space="0" w:color="auto"/>
        <w:left w:val="none" w:sz="0" w:space="0" w:color="auto"/>
        <w:bottom w:val="none" w:sz="0" w:space="0" w:color="auto"/>
        <w:right w:val="none" w:sz="0" w:space="0" w:color="auto"/>
      </w:divBdr>
    </w:div>
    <w:div w:id="1909150936">
      <w:bodyDiv w:val="1"/>
      <w:marLeft w:val="0"/>
      <w:marRight w:val="0"/>
      <w:marTop w:val="0"/>
      <w:marBottom w:val="0"/>
      <w:divBdr>
        <w:top w:val="none" w:sz="0" w:space="0" w:color="auto"/>
        <w:left w:val="none" w:sz="0" w:space="0" w:color="auto"/>
        <w:bottom w:val="none" w:sz="0" w:space="0" w:color="auto"/>
        <w:right w:val="none" w:sz="0" w:space="0" w:color="auto"/>
      </w:divBdr>
    </w:div>
    <w:div w:id="1909614351">
      <w:bodyDiv w:val="1"/>
      <w:marLeft w:val="0"/>
      <w:marRight w:val="0"/>
      <w:marTop w:val="0"/>
      <w:marBottom w:val="0"/>
      <w:divBdr>
        <w:top w:val="none" w:sz="0" w:space="0" w:color="auto"/>
        <w:left w:val="none" w:sz="0" w:space="0" w:color="auto"/>
        <w:bottom w:val="none" w:sz="0" w:space="0" w:color="auto"/>
        <w:right w:val="none" w:sz="0" w:space="0" w:color="auto"/>
      </w:divBdr>
    </w:div>
    <w:div w:id="1911697612">
      <w:bodyDiv w:val="1"/>
      <w:marLeft w:val="0"/>
      <w:marRight w:val="0"/>
      <w:marTop w:val="0"/>
      <w:marBottom w:val="0"/>
      <w:divBdr>
        <w:top w:val="none" w:sz="0" w:space="0" w:color="auto"/>
        <w:left w:val="none" w:sz="0" w:space="0" w:color="auto"/>
        <w:bottom w:val="none" w:sz="0" w:space="0" w:color="auto"/>
        <w:right w:val="none" w:sz="0" w:space="0" w:color="auto"/>
      </w:divBdr>
    </w:div>
    <w:div w:id="1922251773">
      <w:bodyDiv w:val="1"/>
      <w:marLeft w:val="0"/>
      <w:marRight w:val="0"/>
      <w:marTop w:val="0"/>
      <w:marBottom w:val="0"/>
      <w:divBdr>
        <w:top w:val="none" w:sz="0" w:space="0" w:color="auto"/>
        <w:left w:val="none" w:sz="0" w:space="0" w:color="auto"/>
        <w:bottom w:val="none" w:sz="0" w:space="0" w:color="auto"/>
        <w:right w:val="none" w:sz="0" w:space="0" w:color="auto"/>
      </w:divBdr>
    </w:div>
    <w:div w:id="1926844322">
      <w:bodyDiv w:val="1"/>
      <w:marLeft w:val="0"/>
      <w:marRight w:val="0"/>
      <w:marTop w:val="0"/>
      <w:marBottom w:val="0"/>
      <w:divBdr>
        <w:top w:val="none" w:sz="0" w:space="0" w:color="auto"/>
        <w:left w:val="none" w:sz="0" w:space="0" w:color="auto"/>
        <w:bottom w:val="none" w:sz="0" w:space="0" w:color="auto"/>
        <w:right w:val="none" w:sz="0" w:space="0" w:color="auto"/>
      </w:divBdr>
    </w:div>
    <w:div w:id="1931234746">
      <w:bodyDiv w:val="1"/>
      <w:marLeft w:val="0"/>
      <w:marRight w:val="0"/>
      <w:marTop w:val="0"/>
      <w:marBottom w:val="0"/>
      <w:divBdr>
        <w:top w:val="none" w:sz="0" w:space="0" w:color="auto"/>
        <w:left w:val="none" w:sz="0" w:space="0" w:color="auto"/>
        <w:bottom w:val="none" w:sz="0" w:space="0" w:color="auto"/>
        <w:right w:val="none" w:sz="0" w:space="0" w:color="auto"/>
      </w:divBdr>
    </w:div>
    <w:div w:id="1933004647">
      <w:bodyDiv w:val="1"/>
      <w:marLeft w:val="0"/>
      <w:marRight w:val="0"/>
      <w:marTop w:val="0"/>
      <w:marBottom w:val="0"/>
      <w:divBdr>
        <w:top w:val="none" w:sz="0" w:space="0" w:color="auto"/>
        <w:left w:val="none" w:sz="0" w:space="0" w:color="auto"/>
        <w:bottom w:val="none" w:sz="0" w:space="0" w:color="auto"/>
        <w:right w:val="none" w:sz="0" w:space="0" w:color="auto"/>
      </w:divBdr>
    </w:div>
    <w:div w:id="1940873245">
      <w:bodyDiv w:val="1"/>
      <w:marLeft w:val="0"/>
      <w:marRight w:val="0"/>
      <w:marTop w:val="0"/>
      <w:marBottom w:val="0"/>
      <w:divBdr>
        <w:top w:val="none" w:sz="0" w:space="0" w:color="auto"/>
        <w:left w:val="none" w:sz="0" w:space="0" w:color="auto"/>
        <w:bottom w:val="none" w:sz="0" w:space="0" w:color="auto"/>
        <w:right w:val="none" w:sz="0" w:space="0" w:color="auto"/>
      </w:divBdr>
    </w:div>
    <w:div w:id="1944219183">
      <w:bodyDiv w:val="1"/>
      <w:marLeft w:val="0"/>
      <w:marRight w:val="0"/>
      <w:marTop w:val="0"/>
      <w:marBottom w:val="0"/>
      <w:divBdr>
        <w:top w:val="none" w:sz="0" w:space="0" w:color="auto"/>
        <w:left w:val="none" w:sz="0" w:space="0" w:color="auto"/>
        <w:bottom w:val="none" w:sz="0" w:space="0" w:color="auto"/>
        <w:right w:val="none" w:sz="0" w:space="0" w:color="auto"/>
      </w:divBdr>
    </w:div>
    <w:div w:id="1960797389">
      <w:bodyDiv w:val="1"/>
      <w:marLeft w:val="0"/>
      <w:marRight w:val="0"/>
      <w:marTop w:val="0"/>
      <w:marBottom w:val="0"/>
      <w:divBdr>
        <w:top w:val="none" w:sz="0" w:space="0" w:color="auto"/>
        <w:left w:val="none" w:sz="0" w:space="0" w:color="auto"/>
        <w:bottom w:val="none" w:sz="0" w:space="0" w:color="auto"/>
        <w:right w:val="none" w:sz="0" w:space="0" w:color="auto"/>
      </w:divBdr>
    </w:div>
    <w:div w:id="1965189374">
      <w:bodyDiv w:val="1"/>
      <w:marLeft w:val="0"/>
      <w:marRight w:val="0"/>
      <w:marTop w:val="0"/>
      <w:marBottom w:val="0"/>
      <w:divBdr>
        <w:top w:val="none" w:sz="0" w:space="0" w:color="auto"/>
        <w:left w:val="none" w:sz="0" w:space="0" w:color="auto"/>
        <w:bottom w:val="none" w:sz="0" w:space="0" w:color="auto"/>
        <w:right w:val="none" w:sz="0" w:space="0" w:color="auto"/>
      </w:divBdr>
    </w:div>
    <w:div w:id="1973321484">
      <w:bodyDiv w:val="1"/>
      <w:marLeft w:val="0"/>
      <w:marRight w:val="0"/>
      <w:marTop w:val="0"/>
      <w:marBottom w:val="0"/>
      <w:divBdr>
        <w:top w:val="none" w:sz="0" w:space="0" w:color="auto"/>
        <w:left w:val="none" w:sz="0" w:space="0" w:color="auto"/>
        <w:bottom w:val="none" w:sz="0" w:space="0" w:color="auto"/>
        <w:right w:val="none" w:sz="0" w:space="0" w:color="auto"/>
      </w:divBdr>
    </w:div>
    <w:div w:id="1989943361">
      <w:bodyDiv w:val="1"/>
      <w:marLeft w:val="0"/>
      <w:marRight w:val="0"/>
      <w:marTop w:val="0"/>
      <w:marBottom w:val="0"/>
      <w:divBdr>
        <w:top w:val="none" w:sz="0" w:space="0" w:color="auto"/>
        <w:left w:val="none" w:sz="0" w:space="0" w:color="auto"/>
        <w:bottom w:val="none" w:sz="0" w:space="0" w:color="auto"/>
        <w:right w:val="none" w:sz="0" w:space="0" w:color="auto"/>
      </w:divBdr>
    </w:div>
    <w:div w:id="1994142211">
      <w:bodyDiv w:val="1"/>
      <w:marLeft w:val="0"/>
      <w:marRight w:val="0"/>
      <w:marTop w:val="0"/>
      <w:marBottom w:val="0"/>
      <w:divBdr>
        <w:top w:val="none" w:sz="0" w:space="0" w:color="auto"/>
        <w:left w:val="none" w:sz="0" w:space="0" w:color="auto"/>
        <w:bottom w:val="none" w:sz="0" w:space="0" w:color="auto"/>
        <w:right w:val="none" w:sz="0" w:space="0" w:color="auto"/>
      </w:divBdr>
    </w:div>
    <w:div w:id="1998026956">
      <w:bodyDiv w:val="1"/>
      <w:marLeft w:val="0"/>
      <w:marRight w:val="0"/>
      <w:marTop w:val="0"/>
      <w:marBottom w:val="0"/>
      <w:divBdr>
        <w:top w:val="none" w:sz="0" w:space="0" w:color="auto"/>
        <w:left w:val="none" w:sz="0" w:space="0" w:color="auto"/>
        <w:bottom w:val="none" w:sz="0" w:space="0" w:color="auto"/>
        <w:right w:val="none" w:sz="0" w:space="0" w:color="auto"/>
      </w:divBdr>
    </w:div>
    <w:div w:id="2021005053">
      <w:bodyDiv w:val="1"/>
      <w:marLeft w:val="0"/>
      <w:marRight w:val="0"/>
      <w:marTop w:val="0"/>
      <w:marBottom w:val="0"/>
      <w:divBdr>
        <w:top w:val="none" w:sz="0" w:space="0" w:color="auto"/>
        <w:left w:val="none" w:sz="0" w:space="0" w:color="auto"/>
        <w:bottom w:val="none" w:sz="0" w:space="0" w:color="auto"/>
        <w:right w:val="none" w:sz="0" w:space="0" w:color="auto"/>
      </w:divBdr>
    </w:div>
    <w:div w:id="2022583187">
      <w:bodyDiv w:val="1"/>
      <w:marLeft w:val="0"/>
      <w:marRight w:val="0"/>
      <w:marTop w:val="0"/>
      <w:marBottom w:val="0"/>
      <w:divBdr>
        <w:top w:val="none" w:sz="0" w:space="0" w:color="auto"/>
        <w:left w:val="none" w:sz="0" w:space="0" w:color="auto"/>
        <w:bottom w:val="none" w:sz="0" w:space="0" w:color="auto"/>
        <w:right w:val="none" w:sz="0" w:space="0" w:color="auto"/>
      </w:divBdr>
    </w:div>
    <w:div w:id="2023890522">
      <w:bodyDiv w:val="1"/>
      <w:marLeft w:val="0"/>
      <w:marRight w:val="0"/>
      <w:marTop w:val="0"/>
      <w:marBottom w:val="0"/>
      <w:divBdr>
        <w:top w:val="none" w:sz="0" w:space="0" w:color="auto"/>
        <w:left w:val="none" w:sz="0" w:space="0" w:color="auto"/>
        <w:bottom w:val="none" w:sz="0" w:space="0" w:color="auto"/>
        <w:right w:val="none" w:sz="0" w:space="0" w:color="auto"/>
      </w:divBdr>
    </w:div>
    <w:div w:id="2033912885">
      <w:bodyDiv w:val="1"/>
      <w:marLeft w:val="0"/>
      <w:marRight w:val="0"/>
      <w:marTop w:val="0"/>
      <w:marBottom w:val="0"/>
      <w:divBdr>
        <w:top w:val="none" w:sz="0" w:space="0" w:color="auto"/>
        <w:left w:val="none" w:sz="0" w:space="0" w:color="auto"/>
        <w:bottom w:val="none" w:sz="0" w:space="0" w:color="auto"/>
        <w:right w:val="none" w:sz="0" w:space="0" w:color="auto"/>
      </w:divBdr>
    </w:div>
    <w:div w:id="2036728505">
      <w:bodyDiv w:val="1"/>
      <w:marLeft w:val="0"/>
      <w:marRight w:val="0"/>
      <w:marTop w:val="0"/>
      <w:marBottom w:val="0"/>
      <w:divBdr>
        <w:top w:val="none" w:sz="0" w:space="0" w:color="auto"/>
        <w:left w:val="none" w:sz="0" w:space="0" w:color="auto"/>
        <w:bottom w:val="none" w:sz="0" w:space="0" w:color="auto"/>
        <w:right w:val="none" w:sz="0" w:space="0" w:color="auto"/>
      </w:divBdr>
    </w:div>
    <w:div w:id="2049063850">
      <w:bodyDiv w:val="1"/>
      <w:marLeft w:val="0"/>
      <w:marRight w:val="0"/>
      <w:marTop w:val="0"/>
      <w:marBottom w:val="0"/>
      <w:divBdr>
        <w:top w:val="none" w:sz="0" w:space="0" w:color="auto"/>
        <w:left w:val="none" w:sz="0" w:space="0" w:color="auto"/>
        <w:bottom w:val="none" w:sz="0" w:space="0" w:color="auto"/>
        <w:right w:val="none" w:sz="0" w:space="0" w:color="auto"/>
      </w:divBdr>
    </w:div>
    <w:div w:id="2055499994">
      <w:bodyDiv w:val="1"/>
      <w:marLeft w:val="0"/>
      <w:marRight w:val="0"/>
      <w:marTop w:val="0"/>
      <w:marBottom w:val="0"/>
      <w:divBdr>
        <w:top w:val="none" w:sz="0" w:space="0" w:color="auto"/>
        <w:left w:val="none" w:sz="0" w:space="0" w:color="auto"/>
        <w:bottom w:val="none" w:sz="0" w:space="0" w:color="auto"/>
        <w:right w:val="none" w:sz="0" w:space="0" w:color="auto"/>
      </w:divBdr>
    </w:div>
    <w:div w:id="2057317016">
      <w:bodyDiv w:val="1"/>
      <w:marLeft w:val="0"/>
      <w:marRight w:val="0"/>
      <w:marTop w:val="0"/>
      <w:marBottom w:val="0"/>
      <w:divBdr>
        <w:top w:val="none" w:sz="0" w:space="0" w:color="auto"/>
        <w:left w:val="none" w:sz="0" w:space="0" w:color="auto"/>
        <w:bottom w:val="none" w:sz="0" w:space="0" w:color="auto"/>
        <w:right w:val="none" w:sz="0" w:space="0" w:color="auto"/>
      </w:divBdr>
    </w:div>
    <w:div w:id="2058700072">
      <w:bodyDiv w:val="1"/>
      <w:marLeft w:val="0"/>
      <w:marRight w:val="0"/>
      <w:marTop w:val="0"/>
      <w:marBottom w:val="0"/>
      <w:divBdr>
        <w:top w:val="none" w:sz="0" w:space="0" w:color="auto"/>
        <w:left w:val="none" w:sz="0" w:space="0" w:color="auto"/>
        <w:bottom w:val="none" w:sz="0" w:space="0" w:color="auto"/>
        <w:right w:val="none" w:sz="0" w:space="0" w:color="auto"/>
      </w:divBdr>
    </w:div>
    <w:div w:id="2060587476">
      <w:bodyDiv w:val="1"/>
      <w:marLeft w:val="0"/>
      <w:marRight w:val="0"/>
      <w:marTop w:val="0"/>
      <w:marBottom w:val="0"/>
      <w:divBdr>
        <w:top w:val="none" w:sz="0" w:space="0" w:color="auto"/>
        <w:left w:val="none" w:sz="0" w:space="0" w:color="auto"/>
        <w:bottom w:val="none" w:sz="0" w:space="0" w:color="auto"/>
        <w:right w:val="none" w:sz="0" w:space="0" w:color="auto"/>
      </w:divBdr>
    </w:div>
    <w:div w:id="2071733172">
      <w:bodyDiv w:val="1"/>
      <w:marLeft w:val="0"/>
      <w:marRight w:val="0"/>
      <w:marTop w:val="0"/>
      <w:marBottom w:val="0"/>
      <w:divBdr>
        <w:top w:val="none" w:sz="0" w:space="0" w:color="auto"/>
        <w:left w:val="none" w:sz="0" w:space="0" w:color="auto"/>
        <w:bottom w:val="none" w:sz="0" w:space="0" w:color="auto"/>
        <w:right w:val="none" w:sz="0" w:space="0" w:color="auto"/>
      </w:divBdr>
    </w:div>
    <w:div w:id="2072385283">
      <w:bodyDiv w:val="1"/>
      <w:marLeft w:val="0"/>
      <w:marRight w:val="0"/>
      <w:marTop w:val="0"/>
      <w:marBottom w:val="0"/>
      <w:divBdr>
        <w:top w:val="none" w:sz="0" w:space="0" w:color="auto"/>
        <w:left w:val="none" w:sz="0" w:space="0" w:color="auto"/>
        <w:bottom w:val="none" w:sz="0" w:space="0" w:color="auto"/>
        <w:right w:val="none" w:sz="0" w:space="0" w:color="auto"/>
      </w:divBdr>
    </w:div>
    <w:div w:id="2081175080">
      <w:bodyDiv w:val="1"/>
      <w:marLeft w:val="0"/>
      <w:marRight w:val="0"/>
      <w:marTop w:val="0"/>
      <w:marBottom w:val="0"/>
      <w:divBdr>
        <w:top w:val="none" w:sz="0" w:space="0" w:color="auto"/>
        <w:left w:val="none" w:sz="0" w:space="0" w:color="auto"/>
        <w:bottom w:val="none" w:sz="0" w:space="0" w:color="auto"/>
        <w:right w:val="none" w:sz="0" w:space="0" w:color="auto"/>
      </w:divBdr>
    </w:div>
    <w:div w:id="2092501777">
      <w:bodyDiv w:val="1"/>
      <w:marLeft w:val="0"/>
      <w:marRight w:val="0"/>
      <w:marTop w:val="0"/>
      <w:marBottom w:val="0"/>
      <w:divBdr>
        <w:top w:val="none" w:sz="0" w:space="0" w:color="auto"/>
        <w:left w:val="none" w:sz="0" w:space="0" w:color="auto"/>
        <w:bottom w:val="none" w:sz="0" w:space="0" w:color="auto"/>
        <w:right w:val="none" w:sz="0" w:space="0" w:color="auto"/>
      </w:divBdr>
    </w:div>
    <w:div w:id="2112503029">
      <w:bodyDiv w:val="1"/>
      <w:marLeft w:val="0"/>
      <w:marRight w:val="0"/>
      <w:marTop w:val="0"/>
      <w:marBottom w:val="0"/>
      <w:divBdr>
        <w:top w:val="none" w:sz="0" w:space="0" w:color="auto"/>
        <w:left w:val="none" w:sz="0" w:space="0" w:color="auto"/>
        <w:bottom w:val="none" w:sz="0" w:space="0" w:color="auto"/>
        <w:right w:val="none" w:sz="0" w:space="0" w:color="auto"/>
      </w:divBdr>
    </w:div>
    <w:div w:id="2119443221">
      <w:bodyDiv w:val="1"/>
      <w:marLeft w:val="0"/>
      <w:marRight w:val="0"/>
      <w:marTop w:val="0"/>
      <w:marBottom w:val="0"/>
      <w:divBdr>
        <w:top w:val="none" w:sz="0" w:space="0" w:color="auto"/>
        <w:left w:val="none" w:sz="0" w:space="0" w:color="auto"/>
        <w:bottom w:val="none" w:sz="0" w:space="0" w:color="auto"/>
        <w:right w:val="none" w:sz="0" w:space="0" w:color="auto"/>
      </w:divBdr>
    </w:div>
    <w:div w:id="2120760776">
      <w:bodyDiv w:val="1"/>
      <w:marLeft w:val="0"/>
      <w:marRight w:val="0"/>
      <w:marTop w:val="0"/>
      <w:marBottom w:val="0"/>
      <w:divBdr>
        <w:top w:val="none" w:sz="0" w:space="0" w:color="auto"/>
        <w:left w:val="none" w:sz="0" w:space="0" w:color="auto"/>
        <w:bottom w:val="none" w:sz="0" w:space="0" w:color="auto"/>
        <w:right w:val="none" w:sz="0" w:space="0" w:color="auto"/>
      </w:divBdr>
    </w:div>
    <w:div w:id="2123763466">
      <w:bodyDiv w:val="1"/>
      <w:marLeft w:val="0"/>
      <w:marRight w:val="0"/>
      <w:marTop w:val="0"/>
      <w:marBottom w:val="0"/>
      <w:divBdr>
        <w:top w:val="none" w:sz="0" w:space="0" w:color="auto"/>
        <w:left w:val="none" w:sz="0" w:space="0" w:color="auto"/>
        <w:bottom w:val="none" w:sz="0" w:space="0" w:color="auto"/>
        <w:right w:val="none" w:sz="0" w:space="0" w:color="auto"/>
      </w:divBdr>
    </w:div>
    <w:div w:id="2131237259">
      <w:bodyDiv w:val="1"/>
      <w:marLeft w:val="0"/>
      <w:marRight w:val="0"/>
      <w:marTop w:val="0"/>
      <w:marBottom w:val="0"/>
      <w:divBdr>
        <w:top w:val="none" w:sz="0" w:space="0" w:color="auto"/>
        <w:left w:val="none" w:sz="0" w:space="0" w:color="auto"/>
        <w:bottom w:val="none" w:sz="0" w:space="0" w:color="auto"/>
        <w:right w:val="none" w:sz="0" w:space="0" w:color="auto"/>
      </w:divBdr>
    </w:div>
    <w:div w:id="2132476824">
      <w:bodyDiv w:val="1"/>
      <w:marLeft w:val="0"/>
      <w:marRight w:val="0"/>
      <w:marTop w:val="0"/>
      <w:marBottom w:val="0"/>
      <w:divBdr>
        <w:top w:val="none" w:sz="0" w:space="0" w:color="auto"/>
        <w:left w:val="none" w:sz="0" w:space="0" w:color="auto"/>
        <w:bottom w:val="none" w:sz="0" w:space="0" w:color="auto"/>
        <w:right w:val="none" w:sz="0" w:space="0" w:color="auto"/>
      </w:divBdr>
    </w:div>
    <w:div w:id="2136561668">
      <w:bodyDiv w:val="1"/>
      <w:marLeft w:val="0"/>
      <w:marRight w:val="0"/>
      <w:marTop w:val="0"/>
      <w:marBottom w:val="0"/>
      <w:divBdr>
        <w:top w:val="none" w:sz="0" w:space="0" w:color="auto"/>
        <w:left w:val="none" w:sz="0" w:space="0" w:color="auto"/>
        <w:bottom w:val="none" w:sz="0" w:space="0" w:color="auto"/>
        <w:right w:val="none" w:sz="0" w:space="0" w:color="auto"/>
      </w:divBdr>
    </w:div>
    <w:div w:id="2137218426">
      <w:bodyDiv w:val="1"/>
      <w:marLeft w:val="0"/>
      <w:marRight w:val="0"/>
      <w:marTop w:val="0"/>
      <w:marBottom w:val="0"/>
      <w:divBdr>
        <w:top w:val="none" w:sz="0" w:space="0" w:color="auto"/>
        <w:left w:val="none" w:sz="0" w:space="0" w:color="auto"/>
        <w:bottom w:val="none" w:sz="0" w:space="0" w:color="auto"/>
        <w:right w:val="none" w:sz="0" w:space="0" w:color="auto"/>
      </w:divBdr>
    </w:div>
    <w:div w:id="2141919582">
      <w:bodyDiv w:val="1"/>
      <w:marLeft w:val="0"/>
      <w:marRight w:val="0"/>
      <w:marTop w:val="0"/>
      <w:marBottom w:val="0"/>
      <w:divBdr>
        <w:top w:val="none" w:sz="0" w:space="0" w:color="auto"/>
        <w:left w:val="none" w:sz="0" w:space="0" w:color="auto"/>
        <w:bottom w:val="none" w:sz="0" w:space="0" w:color="auto"/>
        <w:right w:val="none" w:sz="0" w:space="0" w:color="auto"/>
      </w:divBdr>
    </w:div>
    <w:div w:id="2143960707">
      <w:bodyDiv w:val="1"/>
      <w:marLeft w:val="0"/>
      <w:marRight w:val="0"/>
      <w:marTop w:val="0"/>
      <w:marBottom w:val="0"/>
      <w:divBdr>
        <w:top w:val="none" w:sz="0" w:space="0" w:color="auto"/>
        <w:left w:val="none" w:sz="0" w:space="0" w:color="auto"/>
        <w:bottom w:val="none" w:sz="0" w:space="0" w:color="auto"/>
        <w:right w:val="none" w:sz="0" w:space="0" w:color="auto"/>
      </w:divBdr>
    </w:div>
    <w:div w:id="214473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a.de/Publikationen-363-AQS-Merkblaetter.html"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3.xml"/><Relationship Id="rId10" Type="http://schemas.openxmlformats.org/officeDocument/2006/relationships/oleObject" Target="embeddings/oleObject1.bin"/><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w-stocker\Desktop\Vorlage_AQS-Merkblatt-PN_Seen_Endfassung_2015_05_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D75CFFE645BF14698EB77A11A0C3FDD" ma:contentTypeVersion="10" ma:contentTypeDescription="Ein neues Dokument erstellen." ma:contentTypeScope="" ma:versionID="20ed902dcd2bb900ed4d6e7b8eee7093">
  <xsd:schema xmlns:xsd="http://www.w3.org/2001/XMLSchema" xmlns:xs="http://www.w3.org/2001/XMLSchema" xmlns:p="http://schemas.microsoft.com/office/2006/metadata/properties" xmlns:ns2="ae3d38d2-2eb3-40ac-bdf8-46c2bfc42b7e" xmlns:ns3="71fcea48-439d-4b0b-93ff-fe6de4cd684a" targetNamespace="http://schemas.microsoft.com/office/2006/metadata/properties" ma:root="true" ma:fieldsID="7b2ca221d681d0cb5804ed1a1d0e0f5d" ns2:_="" ns3:_="">
    <xsd:import namespace="ae3d38d2-2eb3-40ac-bdf8-46c2bfc42b7e"/>
    <xsd:import namespace="71fcea48-439d-4b0b-93ff-fe6de4cd68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3d38d2-2eb3-40ac-bdf8-46c2bfc42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fcea48-439d-4b0b-93ff-fe6de4cd684a"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6419D3-0733-4785-9F43-78ABF4AD0E07}">
  <ds:schemaRefs>
    <ds:schemaRef ds:uri="http://schemas.openxmlformats.org/officeDocument/2006/bibliography"/>
  </ds:schemaRefs>
</ds:datastoreItem>
</file>

<file path=customXml/itemProps2.xml><?xml version="1.0" encoding="utf-8"?>
<ds:datastoreItem xmlns:ds="http://schemas.openxmlformats.org/officeDocument/2006/customXml" ds:itemID="{4553A90D-5976-4B2F-9478-BCBACCF00B63}"/>
</file>

<file path=customXml/itemProps3.xml><?xml version="1.0" encoding="utf-8"?>
<ds:datastoreItem xmlns:ds="http://schemas.openxmlformats.org/officeDocument/2006/customXml" ds:itemID="{90701C42-2386-4F33-AC90-D3C296CE6181}"/>
</file>

<file path=customXml/itemProps4.xml><?xml version="1.0" encoding="utf-8"?>
<ds:datastoreItem xmlns:ds="http://schemas.openxmlformats.org/officeDocument/2006/customXml" ds:itemID="{ECE2826F-CD3C-4729-9BF8-8655FFB75539}"/>
</file>

<file path=docProps/app.xml><?xml version="1.0" encoding="utf-8"?>
<Properties xmlns="http://schemas.openxmlformats.org/officeDocument/2006/extended-properties" xmlns:vt="http://schemas.openxmlformats.org/officeDocument/2006/docPropsVTypes">
  <Template>Vorlage_AQS-Merkblatt-PN_Seen_Endfassung_2015_05_20</Template>
  <TotalTime>0</TotalTime>
  <Pages>8</Pages>
  <Words>2396</Words>
  <Characters>15098</Characters>
  <Application>Microsoft Office Word</Application>
  <DocSecurity>4</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Company AG</Company>
  <LinksUpToDate>false</LinksUpToDate>
  <CharactersWithSpaces>17460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Stocker Johanna</dc:creator>
  <cp:lastModifiedBy>Claudia Steinbrück</cp:lastModifiedBy>
  <cp:revision>2</cp:revision>
  <cp:lastPrinted>2019-12-04T13:48:00Z</cp:lastPrinted>
  <dcterms:created xsi:type="dcterms:W3CDTF">2022-08-23T09:28:00Z</dcterms:created>
  <dcterms:modified xsi:type="dcterms:W3CDTF">2022-08-23T09:28:00Z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0x0101001D75CFFE645BF14698EB77A11A0C3FDD</vt:lpwstr>
  </property>
</Properties>
</file>